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40" w:type="dxa"/>
        <w:tblInd w:w="-34" w:type="dxa"/>
        <w:tblBorders>
          <w:bottom w:val="single" w:sz="24" w:space="0" w:color="auto"/>
          <w:insideH w:val="single" w:sz="8" w:space="0" w:color="auto"/>
        </w:tblBorders>
        <w:tblLayout w:type="fixed"/>
        <w:tblLook w:val="0000" w:firstRow="0" w:lastRow="0" w:firstColumn="0" w:lastColumn="0" w:noHBand="0" w:noVBand="0"/>
      </w:tblPr>
      <w:tblGrid>
        <w:gridCol w:w="3403"/>
        <w:gridCol w:w="4536"/>
        <w:gridCol w:w="1701"/>
      </w:tblGrid>
      <w:tr w:rsidR="00DE796A" w14:paraId="43501267" w14:textId="77777777" w:rsidTr="001E1443">
        <w:trPr>
          <w:cantSplit/>
          <w:trHeight w:val="624"/>
        </w:trPr>
        <w:tc>
          <w:tcPr>
            <w:tcW w:w="3403" w:type="dxa"/>
            <w:tcBorders>
              <w:bottom w:val="nil"/>
            </w:tcBorders>
          </w:tcPr>
          <w:p w14:paraId="315B46E2" w14:textId="77777777" w:rsidR="00DE796A" w:rsidRPr="00934FB6" w:rsidRDefault="00934FB6" w:rsidP="009F06FD">
            <w:pPr>
              <w:spacing w:after="120" w:line="640" w:lineRule="exact"/>
              <w:rPr>
                <w:rFonts w:ascii="Arial" w:hAnsi="Arial" w:cs="Arial"/>
                <w:b/>
                <w:bCs/>
                <w:sz w:val="64"/>
                <w:szCs w:val="64"/>
              </w:rPr>
            </w:pPr>
            <w:r w:rsidRPr="00934FB6">
              <w:rPr>
                <w:rFonts w:ascii="Arial" w:hAnsi="Arial" w:cs="Arial"/>
                <w:b/>
                <w:bCs/>
                <w:sz w:val="64"/>
                <w:szCs w:val="64"/>
              </w:rPr>
              <w:t>MC</w:t>
            </w:r>
          </w:p>
        </w:tc>
        <w:tc>
          <w:tcPr>
            <w:tcW w:w="6237" w:type="dxa"/>
            <w:gridSpan w:val="2"/>
            <w:tcBorders>
              <w:bottom w:val="nil"/>
            </w:tcBorders>
          </w:tcPr>
          <w:p w14:paraId="15BB08DF" w14:textId="77777777" w:rsidR="00DE796A" w:rsidRPr="000844F9" w:rsidRDefault="00DE796A" w:rsidP="00614BE8">
            <w:pPr>
              <w:bidi/>
              <w:spacing w:line="640" w:lineRule="exact"/>
              <w:jc w:val="both"/>
              <w:rPr>
                <w:b/>
                <w:bCs/>
                <w:sz w:val="44"/>
                <w:szCs w:val="44"/>
                <w:rtl/>
              </w:rPr>
            </w:pPr>
            <w:r w:rsidRPr="000844F9">
              <w:rPr>
                <w:rFonts w:hint="cs"/>
                <w:b/>
                <w:bCs/>
                <w:sz w:val="44"/>
                <w:szCs w:val="44"/>
                <w:rtl/>
              </w:rPr>
              <w:t>الأمم المتحدة</w:t>
            </w:r>
          </w:p>
        </w:tc>
      </w:tr>
      <w:tr w:rsidR="004B0A17" w14:paraId="6D3BD447" w14:textId="77777777" w:rsidTr="001E1443">
        <w:trPr>
          <w:cantSplit/>
          <w:trHeight w:val="254"/>
        </w:trPr>
        <w:tc>
          <w:tcPr>
            <w:tcW w:w="3403" w:type="dxa"/>
            <w:tcBorders>
              <w:top w:val="nil"/>
              <w:bottom w:val="single" w:sz="4" w:space="0" w:color="auto"/>
            </w:tcBorders>
          </w:tcPr>
          <w:p w14:paraId="71DEC684" w14:textId="147C7F36" w:rsidR="004B0A17" w:rsidRPr="00462ACF" w:rsidRDefault="00115715" w:rsidP="006D0402">
            <w:pPr>
              <w:rPr>
                <w:rFonts w:cs="Times New Roman"/>
                <w:b/>
                <w:bCs/>
                <w:szCs w:val="20"/>
              </w:rPr>
            </w:pPr>
            <w:r w:rsidRPr="00AB507F">
              <w:rPr>
                <w:rFonts w:cs="Times New Roman"/>
                <w:b/>
                <w:bCs/>
                <w:sz w:val="28"/>
              </w:rPr>
              <w:t>UNEP</w:t>
            </w:r>
            <w:r>
              <w:rPr>
                <w:rFonts w:cs="Times New Roman"/>
              </w:rPr>
              <w:t>/</w:t>
            </w:r>
            <w:r w:rsidR="00934FB6">
              <w:rPr>
                <w:rFonts w:cs="Times New Roman"/>
                <w:szCs w:val="20"/>
              </w:rPr>
              <w:t>MC/COP.</w:t>
            </w:r>
            <w:r w:rsidR="002772B3">
              <w:rPr>
                <w:rFonts w:cs="Times New Roman"/>
                <w:szCs w:val="20"/>
              </w:rPr>
              <w:t>2</w:t>
            </w:r>
            <w:r w:rsidR="00934FB6">
              <w:rPr>
                <w:rFonts w:cs="Times New Roman"/>
                <w:szCs w:val="20"/>
              </w:rPr>
              <w:t>/</w:t>
            </w:r>
            <w:r w:rsidR="00AC13F9">
              <w:rPr>
                <w:rFonts w:cs="Times New Roman"/>
                <w:szCs w:val="20"/>
              </w:rPr>
              <w:t>Dec.</w:t>
            </w:r>
            <w:r w:rsidR="00C45002">
              <w:rPr>
                <w:rFonts w:cs="Times New Roman"/>
                <w:szCs w:val="20"/>
              </w:rPr>
              <w:t>2</w:t>
            </w:r>
          </w:p>
        </w:tc>
        <w:tc>
          <w:tcPr>
            <w:tcW w:w="6237" w:type="dxa"/>
            <w:gridSpan w:val="2"/>
            <w:tcBorders>
              <w:top w:val="nil"/>
              <w:bottom w:val="single" w:sz="4" w:space="0" w:color="auto"/>
            </w:tcBorders>
          </w:tcPr>
          <w:p w14:paraId="0A72B2A3" w14:textId="77777777" w:rsidR="004B0A17" w:rsidRPr="004B0A17" w:rsidRDefault="004B0A17" w:rsidP="004B0A17">
            <w:pPr>
              <w:jc w:val="both"/>
              <w:rPr>
                <w:rFonts w:cs="Times New Roman"/>
                <w:b/>
                <w:bCs/>
                <w:szCs w:val="20"/>
                <w:rtl/>
              </w:rPr>
            </w:pPr>
          </w:p>
        </w:tc>
      </w:tr>
      <w:tr w:rsidR="00DE796A" w14:paraId="0D8768E6" w14:textId="77777777" w:rsidTr="007B0E55">
        <w:trPr>
          <w:cantSplit/>
          <w:trHeight w:val="2317"/>
        </w:trPr>
        <w:tc>
          <w:tcPr>
            <w:tcW w:w="3403" w:type="dxa"/>
            <w:tcBorders>
              <w:top w:val="single" w:sz="4" w:space="0" w:color="auto"/>
              <w:bottom w:val="single" w:sz="24" w:space="0" w:color="auto"/>
            </w:tcBorders>
          </w:tcPr>
          <w:p w14:paraId="2B4BA96C" w14:textId="7D06FF05" w:rsidR="00934FB6" w:rsidRPr="00A969A0" w:rsidRDefault="00934FB6" w:rsidP="00B42C89">
            <w:pPr>
              <w:spacing w:before="120"/>
              <w:jc w:val="both"/>
              <w:rPr>
                <w:rFonts w:cs="Times New Roman"/>
                <w:szCs w:val="20"/>
                <w:lang w:val="en-GB"/>
              </w:rPr>
            </w:pPr>
            <w:r w:rsidRPr="00A969A0">
              <w:rPr>
                <w:rFonts w:cs="Times New Roman"/>
                <w:szCs w:val="20"/>
              </w:rPr>
              <w:t>Distr.</w:t>
            </w:r>
            <w:r w:rsidRPr="00A969A0">
              <w:rPr>
                <w:rFonts w:cs="Times New Roman"/>
                <w:szCs w:val="20"/>
                <w:lang w:val="en-GB"/>
              </w:rPr>
              <w:t xml:space="preserve">: </w:t>
            </w:r>
            <w:r w:rsidR="00CD62A3">
              <w:rPr>
                <w:rFonts w:cs="Times New Roman"/>
                <w:szCs w:val="20"/>
                <w:lang w:val="en-GB"/>
              </w:rPr>
              <w:t>General</w:t>
            </w:r>
          </w:p>
          <w:p w14:paraId="10AF5101" w14:textId="2BE8616E" w:rsidR="00934FB6" w:rsidRPr="002772B3" w:rsidRDefault="00CD62A3" w:rsidP="00934FB6">
            <w:pPr>
              <w:jc w:val="both"/>
              <w:rPr>
                <w:rFonts w:cs="Times New Roman"/>
                <w:szCs w:val="20"/>
              </w:rPr>
            </w:pPr>
            <w:r>
              <w:rPr>
                <w:rFonts w:cs="Times New Roman"/>
                <w:szCs w:val="20"/>
              </w:rPr>
              <w:t>6</w:t>
            </w:r>
            <w:r w:rsidR="00462ACF">
              <w:rPr>
                <w:rFonts w:cs="Times New Roman"/>
                <w:szCs w:val="20"/>
              </w:rPr>
              <w:t xml:space="preserve"> </w:t>
            </w:r>
            <w:r>
              <w:rPr>
                <w:rFonts w:cs="Times New Roman"/>
                <w:szCs w:val="20"/>
              </w:rPr>
              <w:t>Dec</w:t>
            </w:r>
            <w:r w:rsidR="00462ACF">
              <w:rPr>
                <w:rFonts w:cs="Times New Roman"/>
                <w:szCs w:val="20"/>
              </w:rPr>
              <w:t>ember</w:t>
            </w:r>
            <w:r w:rsidR="00934FB6" w:rsidRPr="00A969A0">
              <w:rPr>
                <w:rFonts w:cs="Times New Roman"/>
                <w:szCs w:val="20"/>
              </w:rPr>
              <w:t xml:space="preserve"> 20</w:t>
            </w:r>
            <w:r w:rsidR="00934FB6">
              <w:rPr>
                <w:rFonts w:cs="Times New Roman"/>
                <w:szCs w:val="20"/>
              </w:rPr>
              <w:t>1</w:t>
            </w:r>
            <w:r w:rsidR="002772B3">
              <w:rPr>
                <w:rFonts w:cs="Times New Roman"/>
                <w:szCs w:val="20"/>
              </w:rPr>
              <w:t>8</w:t>
            </w:r>
          </w:p>
          <w:p w14:paraId="30C352C1" w14:textId="77777777" w:rsidR="00934FB6" w:rsidRPr="00DA3FB6" w:rsidRDefault="00934FB6" w:rsidP="00E720C8">
            <w:pPr>
              <w:pStyle w:val="Heading5"/>
              <w:spacing w:before="120"/>
              <w:ind w:left="34" w:right="34"/>
              <w:jc w:val="both"/>
              <w:rPr>
                <w:rFonts w:ascii="Times New Roman" w:hAnsi="Times New Roman" w:cs="Times New Roman"/>
                <w:b w:val="0"/>
                <w:bCs w:val="0"/>
                <w:noProof w:val="0"/>
                <w:szCs w:val="20"/>
                <w:lang w:val="en-GB"/>
              </w:rPr>
            </w:pPr>
            <w:r w:rsidRPr="00A969A0">
              <w:rPr>
                <w:rFonts w:ascii="Times New Roman" w:hAnsi="Times New Roman" w:cs="Times New Roman"/>
                <w:b w:val="0"/>
                <w:bCs w:val="0"/>
                <w:noProof w:val="0"/>
                <w:szCs w:val="20"/>
              </w:rPr>
              <w:t>Arabic</w:t>
            </w:r>
          </w:p>
          <w:p w14:paraId="504A8337" w14:textId="77777777" w:rsidR="00DE796A" w:rsidRPr="00462ACF" w:rsidRDefault="00934FB6" w:rsidP="00934FB6">
            <w:pPr>
              <w:ind w:right="34"/>
              <w:jc w:val="both"/>
              <w:rPr>
                <w:lang w:val="en-GB"/>
              </w:rPr>
            </w:pPr>
            <w:r w:rsidRPr="00A969A0">
              <w:rPr>
                <w:rFonts w:cs="Times New Roman"/>
                <w:szCs w:val="20"/>
              </w:rPr>
              <w:t>Original: English</w:t>
            </w:r>
          </w:p>
        </w:tc>
        <w:tc>
          <w:tcPr>
            <w:tcW w:w="4536" w:type="dxa"/>
            <w:tcBorders>
              <w:top w:val="single" w:sz="4" w:space="0" w:color="auto"/>
              <w:bottom w:val="single" w:sz="24" w:space="0" w:color="auto"/>
            </w:tcBorders>
          </w:tcPr>
          <w:p w14:paraId="217CCEE4" w14:textId="77777777" w:rsidR="00317EFB" w:rsidRPr="00643398" w:rsidRDefault="00317EFB" w:rsidP="007E12AB">
            <w:pPr>
              <w:bidi/>
              <w:spacing w:before="960" w:line="640" w:lineRule="exact"/>
              <w:rPr>
                <w:b/>
                <w:bCs/>
                <w:sz w:val="36"/>
                <w:szCs w:val="36"/>
                <w:rtl/>
              </w:rPr>
            </w:pPr>
            <w:r w:rsidRPr="00E760C7">
              <w:rPr>
                <w:rFonts w:hint="cs"/>
                <w:b/>
                <w:bCs/>
                <w:sz w:val="52"/>
                <w:szCs w:val="52"/>
                <w:rtl/>
              </w:rPr>
              <w:t>برنامج الأمم</w:t>
            </w:r>
          </w:p>
          <w:p w14:paraId="5598AB4C" w14:textId="4C19C1F1" w:rsidR="00DE796A" w:rsidRDefault="00317EFB" w:rsidP="00DA3FB6">
            <w:pPr>
              <w:bidi/>
              <w:spacing w:line="620" w:lineRule="exact"/>
              <w:ind w:left="34" w:hanging="17"/>
              <w:rPr>
                <w:rtl/>
              </w:rPr>
            </w:pPr>
            <w:r w:rsidRPr="00E760C7">
              <w:rPr>
                <w:rFonts w:hint="cs"/>
                <w:b/>
                <w:bCs/>
                <w:sz w:val="52"/>
                <w:szCs w:val="52"/>
                <w:rtl/>
              </w:rPr>
              <w:t>المتحدة للبيئة</w:t>
            </w:r>
          </w:p>
        </w:tc>
        <w:tc>
          <w:tcPr>
            <w:tcW w:w="1701" w:type="dxa"/>
            <w:tcBorders>
              <w:top w:val="single" w:sz="4" w:space="0" w:color="auto"/>
              <w:bottom w:val="single" w:sz="24" w:space="0" w:color="auto"/>
            </w:tcBorders>
          </w:tcPr>
          <w:p w14:paraId="5CF0660A" w14:textId="77777777" w:rsidR="00DE796A" w:rsidRDefault="00933976" w:rsidP="007D019B">
            <w:pPr>
              <w:spacing w:line="20" w:lineRule="exact"/>
            </w:pPr>
            <w:r>
              <w:rPr>
                <w:noProof/>
              </w:rPr>
              <w:drawing>
                <wp:anchor distT="0" distB="0" distL="114300" distR="114300" simplePos="0" relativeHeight="251657216" behindDoc="1" locked="0" layoutInCell="1" allowOverlap="1" wp14:anchorId="0B48B7CA" wp14:editId="4B675135">
                  <wp:simplePos x="0" y="0"/>
                  <wp:positionH relativeFrom="column">
                    <wp:posOffset>151765</wp:posOffset>
                  </wp:positionH>
                  <wp:positionV relativeFrom="paragraph">
                    <wp:posOffset>20955</wp:posOffset>
                  </wp:positionV>
                  <wp:extent cx="793750" cy="718820"/>
                  <wp:effectExtent l="0" t="0" r="6350" b="5080"/>
                  <wp:wrapTight wrapText="bothSides">
                    <wp:wrapPolygon edited="0">
                      <wp:start x="0" y="0"/>
                      <wp:lineTo x="0" y="21180"/>
                      <wp:lineTo x="21254" y="21180"/>
                      <wp:lineTo x="21254" y="0"/>
                      <wp:lineTo x="0" y="0"/>
                    </wp:wrapPolygon>
                  </wp:wrapTight>
                  <wp:docPr id="2" name="Picture 2" descr="#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3750" cy="718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D45A22E" wp14:editId="236BAFA1">
                  <wp:simplePos x="0" y="0"/>
                  <wp:positionH relativeFrom="column">
                    <wp:posOffset>127635</wp:posOffset>
                  </wp:positionH>
                  <wp:positionV relativeFrom="paragraph">
                    <wp:posOffset>675005</wp:posOffset>
                  </wp:positionV>
                  <wp:extent cx="819150" cy="7651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b="9727"/>
                          <a:stretch>
                            <a:fillRect/>
                          </a:stretch>
                        </pic:blipFill>
                        <pic:spPr bwMode="auto">
                          <a:xfrm>
                            <a:off x="0" y="0"/>
                            <a:ext cx="819150" cy="7651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E3C21" w14:paraId="6C2C128B" w14:textId="77777777" w:rsidTr="000D14B1">
        <w:trPr>
          <w:cantSplit/>
          <w:trHeight w:val="1634"/>
        </w:trPr>
        <w:tc>
          <w:tcPr>
            <w:tcW w:w="3403" w:type="dxa"/>
            <w:tcBorders>
              <w:top w:val="single" w:sz="24" w:space="0" w:color="auto"/>
              <w:bottom w:val="nil"/>
            </w:tcBorders>
          </w:tcPr>
          <w:p w14:paraId="34567B1B" w14:textId="77777777" w:rsidR="00BE3C21" w:rsidRPr="00A969A0" w:rsidRDefault="00BE3C21" w:rsidP="00B42C89">
            <w:pPr>
              <w:spacing w:before="120"/>
              <w:jc w:val="both"/>
              <w:rPr>
                <w:rFonts w:cs="Times New Roman"/>
                <w:szCs w:val="20"/>
              </w:rPr>
            </w:pPr>
          </w:p>
        </w:tc>
        <w:tc>
          <w:tcPr>
            <w:tcW w:w="6237" w:type="dxa"/>
            <w:gridSpan w:val="2"/>
            <w:tcBorders>
              <w:top w:val="single" w:sz="24" w:space="0" w:color="auto"/>
              <w:bottom w:val="nil"/>
            </w:tcBorders>
          </w:tcPr>
          <w:p w14:paraId="589B007D" w14:textId="0A157488" w:rsidR="00BE3C21" w:rsidRDefault="00BE3C21" w:rsidP="00D0218C">
            <w:pPr>
              <w:bidi/>
              <w:spacing w:before="60" w:line="360" w:lineRule="exact"/>
              <w:ind w:left="34" w:right="3473"/>
              <w:jc w:val="both"/>
              <w:rPr>
                <w:b/>
                <w:bCs/>
                <w:sz w:val="30"/>
                <w:rtl/>
              </w:rPr>
            </w:pPr>
            <w:r>
              <w:rPr>
                <w:rFonts w:hint="cs"/>
                <w:b/>
                <w:bCs/>
                <w:sz w:val="30"/>
                <w:rtl/>
              </w:rPr>
              <w:t xml:space="preserve">مؤتمر الأطراف في اتفاقية </w:t>
            </w:r>
            <w:proofErr w:type="spellStart"/>
            <w:r>
              <w:rPr>
                <w:rFonts w:hint="cs"/>
                <w:b/>
                <w:bCs/>
                <w:sz w:val="30"/>
                <w:rtl/>
              </w:rPr>
              <w:t>ميناماتا</w:t>
            </w:r>
            <w:proofErr w:type="spellEnd"/>
            <w:r w:rsidR="00D0218C">
              <w:rPr>
                <w:rFonts w:hint="cs"/>
                <w:b/>
                <w:bCs/>
                <w:sz w:val="30"/>
                <w:rtl/>
              </w:rPr>
              <w:t xml:space="preserve"> </w:t>
            </w:r>
            <w:r>
              <w:rPr>
                <w:rFonts w:hint="cs"/>
                <w:b/>
                <w:bCs/>
                <w:sz w:val="30"/>
                <w:rtl/>
              </w:rPr>
              <w:t>بشأن الزئبق</w:t>
            </w:r>
          </w:p>
          <w:p w14:paraId="4D6E95FF" w14:textId="77777777" w:rsidR="00BE3C21" w:rsidRPr="00A579D1" w:rsidRDefault="00BE3C21" w:rsidP="00BE3C21">
            <w:pPr>
              <w:bidi/>
              <w:spacing w:line="360" w:lineRule="exact"/>
              <w:ind w:left="34" w:right="748"/>
              <w:jc w:val="both"/>
              <w:rPr>
                <w:b/>
                <w:bCs/>
                <w:sz w:val="30"/>
                <w:rtl/>
              </w:rPr>
            </w:pPr>
            <w:r>
              <w:rPr>
                <w:rFonts w:hint="cs"/>
                <w:b/>
                <w:bCs/>
                <w:sz w:val="30"/>
                <w:rtl/>
              </w:rPr>
              <w:t>الاجتماع الثاني</w:t>
            </w:r>
          </w:p>
          <w:p w14:paraId="270B00D7" w14:textId="3D069F05" w:rsidR="00452B9C" w:rsidRPr="00BE3C21" w:rsidRDefault="00BE3C21" w:rsidP="000D14B1">
            <w:pPr>
              <w:bidi/>
              <w:spacing w:before="40" w:line="360" w:lineRule="exact"/>
              <w:ind w:left="34"/>
              <w:rPr>
                <w:rFonts w:cs="Times New Roman"/>
                <w:szCs w:val="20"/>
                <w:rtl/>
              </w:rPr>
            </w:pPr>
            <w:r w:rsidRPr="00980B8A">
              <w:rPr>
                <w:rFonts w:ascii="Traditional Arabic" w:hAnsi="Traditional Arabic" w:hint="cs"/>
                <w:sz w:val="30"/>
                <w:rtl/>
              </w:rPr>
              <w:t>جنيف،</w:t>
            </w:r>
            <w:r w:rsidRPr="00980B8A">
              <w:rPr>
                <w:rFonts w:ascii="Traditional Arabic" w:hAnsi="Traditional Arabic"/>
                <w:sz w:val="30"/>
                <w:rtl/>
              </w:rPr>
              <w:t xml:space="preserve"> </w:t>
            </w:r>
            <w:r>
              <w:rPr>
                <w:rFonts w:ascii="Traditional Arabic" w:hAnsi="Traditional Arabic" w:hint="cs"/>
                <w:sz w:val="30"/>
                <w:rtl/>
              </w:rPr>
              <w:t>19</w:t>
            </w:r>
            <w:r w:rsidRPr="00980B8A">
              <w:rPr>
                <w:rFonts w:ascii="Traditional Arabic" w:hAnsi="Traditional Arabic"/>
                <w:sz w:val="30"/>
                <w:rtl/>
              </w:rPr>
              <w:t>-</w:t>
            </w:r>
            <w:r>
              <w:rPr>
                <w:rFonts w:ascii="Traditional Arabic" w:hAnsi="Traditional Arabic" w:hint="cs"/>
                <w:sz w:val="30"/>
                <w:rtl/>
              </w:rPr>
              <w:t>23</w:t>
            </w:r>
            <w:r w:rsidRPr="00980B8A">
              <w:rPr>
                <w:rFonts w:ascii="Traditional Arabic" w:hAnsi="Traditional Arabic"/>
                <w:sz w:val="30"/>
                <w:rtl/>
              </w:rPr>
              <w:t xml:space="preserve"> </w:t>
            </w:r>
            <w:r>
              <w:rPr>
                <w:rFonts w:ascii="Traditional Arabic" w:hAnsi="Traditional Arabic" w:hint="cs"/>
                <w:sz w:val="30"/>
                <w:rtl/>
              </w:rPr>
              <w:t>تشرين الثاني</w:t>
            </w:r>
            <w:r w:rsidRPr="00980B8A">
              <w:rPr>
                <w:rFonts w:ascii="Traditional Arabic" w:hAnsi="Traditional Arabic"/>
                <w:sz w:val="30"/>
                <w:rtl/>
              </w:rPr>
              <w:t>/</w:t>
            </w:r>
            <w:r>
              <w:rPr>
                <w:rFonts w:ascii="Traditional Arabic" w:hAnsi="Traditional Arabic" w:hint="cs"/>
                <w:sz w:val="30"/>
                <w:rtl/>
              </w:rPr>
              <w:t>نوفمب</w:t>
            </w:r>
            <w:r w:rsidRPr="00980B8A">
              <w:rPr>
                <w:rFonts w:ascii="Traditional Arabic" w:hAnsi="Traditional Arabic" w:hint="cs"/>
                <w:sz w:val="30"/>
                <w:rtl/>
              </w:rPr>
              <w:t>ر</w:t>
            </w:r>
            <w:r w:rsidRPr="00980B8A">
              <w:rPr>
                <w:rFonts w:ascii="Traditional Arabic" w:hAnsi="Traditional Arabic"/>
                <w:sz w:val="30"/>
                <w:rtl/>
              </w:rPr>
              <w:t xml:space="preserve"> 201</w:t>
            </w:r>
            <w:r>
              <w:rPr>
                <w:rFonts w:ascii="Traditional Arabic" w:hAnsi="Traditional Arabic" w:hint="cs"/>
                <w:sz w:val="30"/>
                <w:rtl/>
              </w:rPr>
              <w:t>8</w:t>
            </w:r>
          </w:p>
        </w:tc>
      </w:tr>
    </w:tbl>
    <w:p w14:paraId="05337643" w14:textId="77777777" w:rsidR="00AC13F9" w:rsidRDefault="00AC13F9" w:rsidP="000D14B1">
      <w:pPr>
        <w:tabs>
          <w:tab w:val="right" w:pos="851"/>
          <w:tab w:val="left" w:pos="1841"/>
          <w:tab w:val="left" w:pos="2408"/>
          <w:tab w:val="left" w:pos="3542"/>
          <w:tab w:val="left" w:pos="4082"/>
        </w:tabs>
        <w:suppressAutoHyphens/>
        <w:bidi/>
        <w:spacing w:after="120" w:line="400" w:lineRule="exact"/>
        <w:ind w:left="1134"/>
        <w:jc w:val="both"/>
        <w:textDirection w:val="tbRlV"/>
        <w:rPr>
          <w:rFonts w:eastAsia="Calibri"/>
          <w:bCs/>
          <w:sz w:val="34"/>
          <w:szCs w:val="34"/>
          <w:lang w:val="en-GB" w:eastAsia="zh-TW"/>
        </w:rPr>
      </w:pPr>
    </w:p>
    <w:p w14:paraId="21A9D8A0" w14:textId="4497BB22" w:rsidR="00AC13F9" w:rsidRDefault="00AC13F9" w:rsidP="00770CC9">
      <w:pPr>
        <w:tabs>
          <w:tab w:val="right" w:pos="851"/>
          <w:tab w:val="left" w:pos="1841"/>
          <w:tab w:val="left" w:pos="2408"/>
          <w:tab w:val="left" w:pos="3542"/>
          <w:tab w:val="left" w:pos="4082"/>
        </w:tabs>
        <w:suppressAutoHyphens/>
        <w:bidi/>
        <w:spacing w:after="120" w:line="400" w:lineRule="exact"/>
        <w:ind w:left="1134"/>
        <w:jc w:val="both"/>
        <w:textDirection w:val="tbRlV"/>
        <w:rPr>
          <w:rFonts w:eastAsia="Calibri"/>
          <w:bCs/>
          <w:sz w:val="34"/>
          <w:szCs w:val="34"/>
          <w:lang w:val="en-GB" w:eastAsia="zh-TW"/>
        </w:rPr>
      </w:pPr>
      <w:bookmarkStart w:id="0" w:name="_Hlk59089435"/>
      <w:bookmarkStart w:id="1" w:name="_Hlk59090405"/>
      <w:r w:rsidRPr="00AC13F9">
        <w:rPr>
          <w:rFonts w:eastAsia="Calibri"/>
          <w:bCs/>
          <w:sz w:val="34"/>
          <w:szCs w:val="34"/>
          <w:rtl/>
          <w:lang w:val="en-GB" w:eastAsia="zh-TW"/>
        </w:rPr>
        <w:t>المقرر الذي اعتمده</w:t>
      </w:r>
      <w:bookmarkEnd w:id="0"/>
      <w:r w:rsidR="009D5919" w:rsidRPr="009D5919">
        <w:rPr>
          <w:rFonts w:eastAsia="Calibri"/>
          <w:bCs/>
          <w:sz w:val="34"/>
          <w:szCs w:val="34"/>
          <w:rtl/>
          <w:lang w:val="en-GB" w:eastAsia="zh-TW"/>
        </w:rPr>
        <w:t xml:space="preserve"> مؤتمر الأطراف</w:t>
      </w:r>
      <w:bookmarkEnd w:id="1"/>
      <w:r w:rsidR="009D5919" w:rsidRPr="009D5919">
        <w:rPr>
          <w:rFonts w:eastAsia="Calibri"/>
          <w:bCs/>
          <w:sz w:val="34"/>
          <w:szCs w:val="34"/>
          <w:rtl/>
          <w:lang w:val="en-GB" w:eastAsia="zh-TW"/>
        </w:rPr>
        <w:t xml:space="preserve"> في اتفاقية </w:t>
      </w:r>
      <w:proofErr w:type="spellStart"/>
      <w:r w:rsidR="009D5919" w:rsidRPr="009D5919">
        <w:rPr>
          <w:rFonts w:eastAsia="Calibri"/>
          <w:bCs/>
          <w:sz w:val="34"/>
          <w:szCs w:val="34"/>
          <w:rtl/>
          <w:lang w:val="en-GB" w:eastAsia="zh-TW"/>
        </w:rPr>
        <w:t>ميناماتا</w:t>
      </w:r>
      <w:proofErr w:type="spellEnd"/>
      <w:r w:rsidR="009D5919" w:rsidRPr="009D5919">
        <w:rPr>
          <w:rFonts w:eastAsia="Calibri"/>
          <w:bCs/>
          <w:sz w:val="34"/>
          <w:szCs w:val="34"/>
          <w:rtl/>
          <w:lang w:val="en-GB" w:eastAsia="zh-TW"/>
        </w:rPr>
        <w:t xml:space="preserve"> بشأن الزئبق في اجتماعه الثاني</w:t>
      </w:r>
      <w:bookmarkStart w:id="2" w:name="_Toc11753085"/>
    </w:p>
    <w:p w14:paraId="0BF2D13C" w14:textId="225F9875" w:rsidR="000B3148" w:rsidRDefault="000B3148" w:rsidP="000B3148">
      <w:pPr>
        <w:tabs>
          <w:tab w:val="right" w:pos="851"/>
          <w:tab w:val="left" w:pos="1841"/>
          <w:tab w:val="left" w:pos="2408"/>
          <w:tab w:val="left" w:pos="3542"/>
          <w:tab w:val="left" w:pos="4082"/>
        </w:tabs>
        <w:suppressAutoHyphens/>
        <w:bidi/>
        <w:spacing w:after="120" w:line="400" w:lineRule="exact"/>
        <w:ind w:left="1134"/>
        <w:jc w:val="both"/>
        <w:textDirection w:val="tbRlV"/>
        <w:rPr>
          <w:rFonts w:eastAsia="Calibri"/>
          <w:bCs/>
          <w:sz w:val="34"/>
          <w:szCs w:val="34"/>
          <w:lang w:val="en-GB" w:eastAsia="zh-TW"/>
        </w:rPr>
      </w:pPr>
    </w:p>
    <w:p w14:paraId="48689399" w14:textId="2680CD26" w:rsidR="000B3148" w:rsidRDefault="000B3148" w:rsidP="000B3148">
      <w:pPr>
        <w:tabs>
          <w:tab w:val="right" w:pos="851"/>
          <w:tab w:val="left" w:pos="1841"/>
          <w:tab w:val="left" w:pos="2408"/>
          <w:tab w:val="left" w:pos="3542"/>
          <w:tab w:val="left" w:pos="4082"/>
        </w:tabs>
        <w:suppressAutoHyphens/>
        <w:bidi/>
        <w:spacing w:after="120" w:line="400" w:lineRule="exact"/>
        <w:ind w:left="1134"/>
        <w:jc w:val="both"/>
        <w:textDirection w:val="tbRlV"/>
        <w:rPr>
          <w:rFonts w:eastAsia="Calibri"/>
          <w:bCs/>
          <w:sz w:val="34"/>
          <w:szCs w:val="34"/>
          <w:lang w:val="en-GB" w:eastAsia="zh-TW"/>
        </w:rPr>
      </w:pPr>
    </w:p>
    <w:p w14:paraId="0A2CFD3E" w14:textId="77777777" w:rsidR="00C45002" w:rsidRPr="00E42B70" w:rsidRDefault="00C45002" w:rsidP="00C45002">
      <w:pPr>
        <w:pStyle w:val="Normalnumber"/>
        <w:numPr>
          <w:ilvl w:val="0"/>
          <w:numId w:val="0"/>
        </w:numPr>
        <w:tabs>
          <w:tab w:val="left" w:pos="1841"/>
          <w:tab w:val="left" w:pos="2408"/>
          <w:tab w:val="left" w:pos="2975"/>
        </w:tabs>
        <w:bidi/>
        <w:spacing w:before="240" w:after="240" w:line="400" w:lineRule="exact"/>
        <w:ind w:left="1134"/>
        <w:jc w:val="both"/>
        <w:textDirection w:val="tbRlV"/>
        <w:outlineLvl w:val="0"/>
        <w:rPr>
          <w:rFonts w:ascii="Traditional Arabic" w:hAnsi="Traditional Arabic" w:cs="Traditional Arabic"/>
          <w:b/>
          <w:bCs/>
          <w:sz w:val="32"/>
          <w:szCs w:val="32"/>
          <w:rtl/>
          <w:lang w:eastAsia="zh-TW"/>
        </w:rPr>
      </w:pPr>
      <w:bookmarkStart w:id="3" w:name="_Toc11753086"/>
      <w:bookmarkEnd w:id="2"/>
      <w:r w:rsidRPr="00E42B70">
        <w:rPr>
          <w:rFonts w:ascii="Traditional Arabic" w:hAnsi="Traditional Arabic" w:cs="Traditional Arabic" w:hint="cs"/>
          <w:b/>
          <w:bCs/>
          <w:sz w:val="32"/>
          <w:szCs w:val="32"/>
          <w:rtl/>
          <w:lang w:eastAsia="zh-TW"/>
        </w:rPr>
        <w:t>المقرر ا م</w:t>
      </w:r>
      <w:r w:rsidRPr="00E42B70">
        <w:rPr>
          <w:rFonts w:ascii="Traditional Arabic" w:hAnsi="Traditional Arabic" w:cs="Traditional Arabic" w:hint="cs"/>
          <w:b/>
          <w:bCs/>
          <w:sz w:val="32"/>
          <w:szCs w:val="32"/>
          <w:rtl/>
          <w:lang w:eastAsia="zh-TW" w:bidi="ar-EG"/>
        </w:rPr>
        <w:t xml:space="preserve"> </w:t>
      </w:r>
      <w:r>
        <w:rPr>
          <w:rFonts w:ascii="Traditional Arabic" w:hAnsi="Traditional Arabic" w:cs="Traditional Arabic" w:hint="cs"/>
          <w:b/>
          <w:bCs/>
          <w:sz w:val="32"/>
          <w:szCs w:val="32"/>
          <w:rtl/>
          <w:lang w:eastAsia="zh-TW"/>
        </w:rPr>
        <w:t>-</w:t>
      </w:r>
      <w:r w:rsidRPr="00E42B70">
        <w:rPr>
          <w:rFonts w:ascii="Traditional Arabic" w:hAnsi="Traditional Arabic" w:cs="Traditional Arabic" w:hint="cs"/>
          <w:b/>
          <w:bCs/>
          <w:sz w:val="32"/>
          <w:szCs w:val="32"/>
          <w:rtl/>
          <w:lang w:eastAsia="zh-TW"/>
        </w:rPr>
        <w:t>2/2: عتبات نفايات الزئبق</w:t>
      </w:r>
      <w:bookmarkEnd w:id="3"/>
    </w:p>
    <w:p w14:paraId="7AFBE2CD" w14:textId="77777777" w:rsidR="00C45002" w:rsidRPr="001A41B1" w:rsidRDefault="00C45002" w:rsidP="00C45002">
      <w:pPr>
        <w:tabs>
          <w:tab w:val="left" w:pos="624"/>
          <w:tab w:val="left" w:pos="2408"/>
        </w:tabs>
        <w:bidi/>
        <w:spacing w:after="120" w:line="400" w:lineRule="exact"/>
        <w:ind w:left="1132" w:firstLine="709"/>
        <w:jc w:val="both"/>
        <w:textDirection w:val="tbRlV"/>
        <w:rPr>
          <w:rFonts w:ascii="Traditional Arabic" w:hAnsi="Traditional Arabic"/>
          <w:i/>
          <w:sz w:val="30"/>
          <w:rtl/>
          <w:lang w:val="en-GB" w:eastAsia="zh-TW"/>
        </w:rPr>
      </w:pPr>
      <w:r w:rsidRPr="001A41B1">
        <w:rPr>
          <w:rFonts w:ascii="Traditional Arabic" w:hAnsi="Traditional Arabic"/>
          <w:i/>
          <w:iCs/>
          <w:sz w:val="30"/>
          <w:rtl/>
          <w:lang w:val="en-GB" w:eastAsia="zh-TW"/>
        </w:rPr>
        <w:t>إن مؤتمر الأطراف،</w:t>
      </w:r>
    </w:p>
    <w:p w14:paraId="2C38C3EA" w14:textId="77777777" w:rsidR="00C45002" w:rsidRPr="0029258C" w:rsidRDefault="00C45002" w:rsidP="00C45002">
      <w:pPr>
        <w:tabs>
          <w:tab w:val="left" w:pos="624"/>
          <w:tab w:val="left" w:pos="1814"/>
          <w:tab w:val="left" w:pos="2381"/>
          <w:tab w:val="left" w:pos="2408"/>
          <w:tab w:val="left" w:pos="2948"/>
          <w:tab w:val="left" w:pos="3515"/>
        </w:tabs>
        <w:bidi/>
        <w:spacing w:after="120" w:line="400" w:lineRule="exact"/>
        <w:ind w:left="1134" w:firstLine="709"/>
        <w:jc w:val="both"/>
        <w:textDirection w:val="tbRlV"/>
        <w:rPr>
          <w:rFonts w:eastAsia="MS PGothic" w:hAnsi="Calibri"/>
          <w:sz w:val="30"/>
          <w:rtl/>
          <w:lang w:val="en-GB" w:eastAsia="zh-TW"/>
        </w:rPr>
      </w:pPr>
      <w:r w:rsidRPr="00D361C4">
        <w:rPr>
          <w:rFonts w:eastAsia="Calibri" w:hAnsi="Calibri"/>
          <w:i/>
          <w:iCs/>
          <w:sz w:val="30"/>
          <w:rtl/>
          <w:lang w:val="en-GB" w:eastAsia="zh-TW"/>
        </w:rPr>
        <w:t>إذ يرحب</w:t>
      </w:r>
      <w:r w:rsidRPr="00D361C4">
        <w:rPr>
          <w:rFonts w:eastAsia="Calibri" w:hAnsi="Calibri"/>
          <w:sz w:val="30"/>
          <w:rtl/>
          <w:lang w:val="en-GB" w:eastAsia="zh-TW"/>
        </w:rPr>
        <w:t xml:space="preserve"> بالتقرير عن نتائج العملية المفتوحة بشأن عتبات النفايات المطلوبة بموجب المادة ١١ من الاتفاقية </w:t>
      </w:r>
      <w:r w:rsidRPr="005638DB">
        <w:rPr>
          <w:rFonts w:eastAsia="MS PGothic"/>
          <w:lang w:val="en-IE"/>
        </w:rPr>
        <w:t>(UNEP/MC/COP</w:t>
      </w:r>
      <w:r>
        <w:rPr>
          <w:rFonts w:eastAsia="MS PGothic"/>
        </w:rPr>
        <w:t>.</w:t>
      </w:r>
      <w:r w:rsidRPr="005638DB">
        <w:rPr>
          <w:rFonts w:eastAsia="MS PGothic"/>
          <w:lang w:val="en-IE"/>
        </w:rPr>
        <w:t>2/6)</w:t>
      </w:r>
      <w:r w:rsidRPr="00D361C4">
        <w:rPr>
          <w:rFonts w:eastAsia="Calibri" w:hAnsi="Calibri"/>
          <w:sz w:val="30"/>
          <w:rtl/>
          <w:lang w:val="en-GB" w:eastAsia="zh-TW"/>
        </w:rPr>
        <w:t>،</w:t>
      </w:r>
    </w:p>
    <w:p w14:paraId="18C0C226" w14:textId="77777777" w:rsidR="00C45002" w:rsidRPr="00D361C4" w:rsidRDefault="00C45002" w:rsidP="00C45002">
      <w:pPr>
        <w:tabs>
          <w:tab w:val="left" w:pos="624"/>
          <w:tab w:val="left" w:pos="1247"/>
          <w:tab w:val="left" w:pos="1814"/>
          <w:tab w:val="left" w:pos="2381"/>
          <w:tab w:val="left" w:pos="2408"/>
          <w:tab w:val="left" w:pos="2948"/>
          <w:tab w:val="left" w:pos="3515"/>
        </w:tabs>
        <w:bidi/>
        <w:spacing w:after="120" w:line="400" w:lineRule="exact"/>
        <w:ind w:left="1134" w:firstLine="709"/>
        <w:jc w:val="both"/>
        <w:textDirection w:val="tbRlV"/>
        <w:rPr>
          <w:rFonts w:eastAsia="MS PGothic" w:hAnsi="Calibri"/>
          <w:sz w:val="30"/>
          <w:rtl/>
          <w:lang w:val="en-GB" w:eastAsia="zh-TW"/>
        </w:rPr>
      </w:pPr>
      <w:r w:rsidRPr="00D361C4">
        <w:rPr>
          <w:rFonts w:eastAsia="Calibri" w:hAnsi="Calibri"/>
          <w:i/>
          <w:iCs/>
          <w:sz w:val="30"/>
          <w:rtl/>
          <w:lang w:val="en-GB" w:eastAsia="zh-TW"/>
        </w:rPr>
        <w:t>وإذ يرى</w:t>
      </w:r>
      <w:r w:rsidRPr="00D361C4">
        <w:rPr>
          <w:rFonts w:eastAsia="Calibri" w:hAnsi="Calibri"/>
          <w:sz w:val="30"/>
          <w:rtl/>
          <w:lang w:val="en-GB" w:eastAsia="zh-TW"/>
        </w:rPr>
        <w:t xml:space="preserve"> أن تحديد عتبات لنفايات الزئبق سوف يكون له أثر قانوني رئيسي يتمثل في استبعاد النفايات المشار إليها في الفقرات ٢ (أ) و(ب) و(ج) من المادة ١١ </w:t>
      </w:r>
      <w:r>
        <w:rPr>
          <w:rFonts w:eastAsia="Calibri" w:hAnsi="Calibri" w:hint="cs"/>
          <w:sz w:val="30"/>
          <w:rtl/>
          <w:lang w:val="en-GB" w:eastAsia="zh-TW"/>
        </w:rPr>
        <w:t>و</w:t>
      </w:r>
      <w:r w:rsidRPr="00D361C4">
        <w:rPr>
          <w:rFonts w:eastAsia="Calibri" w:hAnsi="Calibri"/>
          <w:sz w:val="30"/>
          <w:rtl/>
          <w:lang w:val="en-GB" w:eastAsia="zh-TW"/>
        </w:rPr>
        <w:t xml:space="preserve">التي يقل مستواها عن هذه العتبات </w:t>
      </w:r>
      <w:r>
        <w:rPr>
          <w:rFonts w:eastAsia="Calibri" w:hAnsi="Calibri"/>
          <w:sz w:val="30"/>
          <w:rtl/>
          <w:lang w:val="en-GB" w:eastAsia="zh-TW"/>
        </w:rPr>
        <w:t>من نطاق المادة ١١ من الاتفاقية،</w:t>
      </w:r>
    </w:p>
    <w:p w14:paraId="35E4F2FD" w14:textId="77777777" w:rsidR="00C45002" w:rsidRPr="00D361C4" w:rsidRDefault="00C45002" w:rsidP="00C45002">
      <w:pPr>
        <w:tabs>
          <w:tab w:val="left" w:pos="2408"/>
          <w:tab w:val="left" w:pos="2948"/>
          <w:tab w:val="left" w:pos="3515"/>
        </w:tabs>
        <w:bidi/>
        <w:spacing w:after="120" w:line="400" w:lineRule="exact"/>
        <w:ind w:left="1134" w:firstLine="709"/>
        <w:jc w:val="both"/>
        <w:textDirection w:val="tbRlV"/>
        <w:rPr>
          <w:rFonts w:eastAsia="Calibri" w:hAnsi="Calibri"/>
          <w:sz w:val="30"/>
          <w:rtl/>
          <w:lang w:val="en-GB" w:eastAsia="zh-TW"/>
        </w:rPr>
      </w:pPr>
      <w:r w:rsidRPr="00D361C4">
        <w:rPr>
          <w:rFonts w:eastAsia="Calibri" w:hAnsi="Calibri"/>
          <w:i/>
          <w:iCs/>
          <w:sz w:val="30"/>
          <w:rtl/>
          <w:lang w:val="en-GB" w:eastAsia="zh-TW"/>
        </w:rPr>
        <w:t>وإذ يرى أيضا</w:t>
      </w:r>
      <w:r>
        <w:rPr>
          <w:rFonts w:eastAsia="Calibri" w:hAnsi="Calibri" w:hint="cs"/>
          <w:i/>
          <w:iCs/>
          <w:sz w:val="30"/>
          <w:rtl/>
          <w:lang w:val="en-GB" w:eastAsia="zh-TW"/>
        </w:rPr>
        <w:t>ً</w:t>
      </w:r>
      <w:r w:rsidRPr="00D361C4">
        <w:rPr>
          <w:rFonts w:eastAsia="Calibri" w:hAnsi="Calibri"/>
          <w:sz w:val="30"/>
          <w:rtl/>
          <w:lang w:val="en-GB" w:eastAsia="zh-TW"/>
        </w:rPr>
        <w:t xml:space="preserve"> أن تعريف نفايات الزئبق الوارد في المادة ١١ يستثني الغطاء الصخري ونفايات الصخور ومخلفات التعدين، باستثناء</w:t>
      </w:r>
      <w:r>
        <w:rPr>
          <w:rFonts w:eastAsia="Calibri" w:hAnsi="Calibri" w:hint="cs"/>
          <w:sz w:val="30"/>
          <w:rtl/>
          <w:lang w:val="en-GB" w:eastAsia="zh-TW"/>
        </w:rPr>
        <w:t xml:space="preserve"> المخلفات من</w:t>
      </w:r>
      <w:r w:rsidRPr="00D361C4">
        <w:rPr>
          <w:rFonts w:eastAsia="Calibri" w:hAnsi="Calibri"/>
          <w:sz w:val="30"/>
          <w:rtl/>
          <w:lang w:val="en-GB" w:eastAsia="zh-TW"/>
        </w:rPr>
        <w:t xml:space="preserve"> التعدين الأولي للزئبق، إلا إذا كانت تحتوي على زئبق أو مركبات زئبق تزيد عن العتبات التي سيحددها مؤتمر الأطراف، وبالنظر إلى أن تحديد هذه العتبات سوف تكون له نتيجة أساسية تتمثل في إدراج هذه النفايات التي يفوق مستواها هذه العتبات </w:t>
      </w:r>
      <w:r>
        <w:rPr>
          <w:rFonts w:eastAsia="Calibri" w:hAnsi="Calibri" w:hint="cs"/>
          <w:sz w:val="30"/>
          <w:rtl/>
          <w:lang w:val="en-GB" w:eastAsia="zh-TW"/>
        </w:rPr>
        <w:t>ضمن</w:t>
      </w:r>
      <w:r>
        <w:rPr>
          <w:rFonts w:eastAsia="Calibri" w:hAnsi="Calibri"/>
          <w:sz w:val="30"/>
          <w:rtl/>
          <w:lang w:val="en-GB" w:eastAsia="zh-TW"/>
        </w:rPr>
        <w:t xml:space="preserve"> نطاق المادة</w:t>
      </w:r>
      <w:r>
        <w:rPr>
          <w:rFonts w:eastAsia="Calibri" w:hAnsi="Calibri" w:hint="cs"/>
          <w:sz w:val="30"/>
          <w:rtl/>
          <w:lang w:val="en-GB" w:eastAsia="zh-TW"/>
        </w:rPr>
        <w:t> </w:t>
      </w:r>
      <w:r>
        <w:rPr>
          <w:rFonts w:eastAsia="Calibri" w:hAnsi="Calibri"/>
          <w:sz w:val="30"/>
          <w:rtl/>
          <w:lang w:val="en-GB" w:eastAsia="zh-TW"/>
        </w:rPr>
        <w:t>١١،</w:t>
      </w:r>
    </w:p>
    <w:p w14:paraId="2B4A9CD1" w14:textId="77777777" w:rsidR="00C45002" w:rsidRPr="00D361C4" w:rsidRDefault="00C45002" w:rsidP="00C45002">
      <w:pPr>
        <w:tabs>
          <w:tab w:val="left" w:pos="624"/>
          <w:tab w:val="left" w:pos="2408"/>
          <w:tab w:val="left" w:pos="2948"/>
          <w:tab w:val="left" w:pos="3515"/>
        </w:tabs>
        <w:bidi/>
        <w:spacing w:after="120" w:line="400" w:lineRule="exact"/>
        <w:ind w:left="1134" w:firstLine="709"/>
        <w:jc w:val="both"/>
        <w:textDirection w:val="tbRlV"/>
        <w:rPr>
          <w:rFonts w:eastAsia="MS PGothic" w:hAnsi="Calibri"/>
          <w:sz w:val="30"/>
          <w:rtl/>
          <w:lang w:val="en-GB" w:eastAsia="zh-TW"/>
        </w:rPr>
      </w:pPr>
      <w:r w:rsidRPr="00D361C4">
        <w:rPr>
          <w:rFonts w:eastAsia="Calibri" w:hAnsi="Calibri"/>
          <w:i/>
          <w:iCs/>
          <w:sz w:val="30"/>
          <w:rtl/>
          <w:lang w:val="en-GB" w:eastAsia="zh-TW"/>
        </w:rPr>
        <w:t>وإذ يسلم</w:t>
      </w:r>
      <w:r w:rsidRPr="00D361C4">
        <w:rPr>
          <w:rFonts w:eastAsia="Calibri" w:hAnsi="Calibri"/>
          <w:sz w:val="30"/>
          <w:rtl/>
          <w:lang w:val="en-GB" w:eastAsia="zh-TW"/>
        </w:rPr>
        <w:t xml:space="preserve"> بأن من الأهمية و</w:t>
      </w:r>
      <w:r>
        <w:rPr>
          <w:rFonts w:eastAsia="Calibri" w:hAnsi="Calibri" w:hint="cs"/>
          <w:sz w:val="30"/>
          <w:rtl/>
          <w:lang w:val="en-GB" w:eastAsia="zh-TW"/>
        </w:rPr>
        <w:t xml:space="preserve">أن </w:t>
      </w:r>
      <w:r w:rsidRPr="00D361C4">
        <w:rPr>
          <w:rFonts w:eastAsia="Calibri" w:hAnsi="Calibri"/>
          <w:sz w:val="30"/>
          <w:rtl/>
          <w:lang w:val="en-GB" w:eastAsia="zh-TW"/>
        </w:rPr>
        <w:t>من الأولى تحديد عتبة/عتبات لنفايات الزئبق الملوثة بالزئبق أو مركبات الزئبق، المشار إليها في الفقرة ٢ (ج) من المادة ١١، وأنه يتعين تقييم مدى ملاءمة العتبات الخاصة بالفئات المشار إليها في الفقرتين ٢ (أ) و(ب) من المادة ١١،</w:t>
      </w:r>
    </w:p>
    <w:p w14:paraId="686ECDA6" w14:textId="77777777" w:rsidR="00C45002" w:rsidRPr="00D361C4" w:rsidRDefault="00C45002" w:rsidP="00C45002">
      <w:pPr>
        <w:numPr>
          <w:ilvl w:val="0"/>
          <w:numId w:val="8"/>
        </w:numPr>
        <w:tabs>
          <w:tab w:val="left" w:pos="1132"/>
          <w:tab w:val="left" w:pos="2408"/>
          <w:tab w:val="left" w:pos="2975"/>
          <w:tab w:val="left" w:pos="3515"/>
        </w:tabs>
        <w:bidi/>
        <w:spacing w:after="120" w:line="400" w:lineRule="exact"/>
        <w:ind w:left="1134" w:firstLine="709"/>
        <w:jc w:val="both"/>
        <w:textDirection w:val="tbRlV"/>
        <w:rPr>
          <w:rFonts w:eastAsia="MS PGothic" w:hAnsi="Calibri"/>
          <w:sz w:val="30"/>
          <w:rtl/>
          <w:lang w:val="en-GB" w:eastAsia="zh-TW"/>
        </w:rPr>
      </w:pPr>
      <w:r w:rsidRPr="00D361C4">
        <w:rPr>
          <w:rFonts w:eastAsia="Calibri" w:hAnsi="Calibri"/>
          <w:i/>
          <w:iCs/>
          <w:sz w:val="30"/>
          <w:rtl/>
          <w:lang w:val="en-GB" w:eastAsia="zh-TW"/>
        </w:rPr>
        <w:lastRenderedPageBreak/>
        <w:t>يقرر</w:t>
      </w:r>
      <w:r w:rsidRPr="00D361C4">
        <w:rPr>
          <w:rFonts w:eastAsia="Calibri" w:hAnsi="Calibri"/>
          <w:sz w:val="30"/>
          <w:rtl/>
          <w:lang w:val="en-GB" w:eastAsia="zh-TW"/>
        </w:rPr>
        <w:t xml:space="preserve"> إنشاء فريق من الخبراء التقنيين للمضي قدما</w:t>
      </w:r>
      <w:r>
        <w:rPr>
          <w:rFonts w:eastAsia="Calibri" w:hAnsi="Calibri" w:hint="cs"/>
          <w:sz w:val="30"/>
          <w:rtl/>
          <w:lang w:val="en-GB" w:eastAsia="zh-TW"/>
        </w:rPr>
        <w:t>ً</w:t>
      </w:r>
      <w:r w:rsidRPr="00D361C4">
        <w:rPr>
          <w:rFonts w:eastAsia="Calibri" w:hAnsi="Calibri"/>
          <w:sz w:val="30"/>
          <w:rtl/>
          <w:lang w:val="en-GB" w:eastAsia="zh-TW"/>
        </w:rPr>
        <w:t xml:space="preserve"> في المناقشات بشأن عتبات نفايات الزئبق خلال الفترة ما بين الاجتماعين </w:t>
      </w:r>
      <w:proofErr w:type="spellStart"/>
      <w:r w:rsidRPr="00D361C4">
        <w:rPr>
          <w:rFonts w:eastAsia="Calibri" w:hAnsi="Calibri"/>
          <w:sz w:val="30"/>
          <w:rtl/>
          <w:lang w:val="en-GB" w:eastAsia="zh-TW"/>
        </w:rPr>
        <w:t>المفضية</w:t>
      </w:r>
      <w:proofErr w:type="spellEnd"/>
      <w:r w:rsidRPr="00D361C4">
        <w:rPr>
          <w:rFonts w:eastAsia="Calibri" w:hAnsi="Calibri"/>
          <w:sz w:val="30"/>
          <w:rtl/>
          <w:lang w:val="en-GB" w:eastAsia="zh-TW"/>
        </w:rPr>
        <w:t xml:space="preserve"> إلى الاجتماع الثالث لمؤتمر الأطراف، وفقا</w:t>
      </w:r>
      <w:r>
        <w:rPr>
          <w:rFonts w:eastAsia="Calibri" w:hAnsi="Calibri" w:hint="cs"/>
          <w:sz w:val="30"/>
          <w:rtl/>
          <w:lang w:val="en-GB" w:eastAsia="zh-TW"/>
        </w:rPr>
        <w:t>ً</w:t>
      </w:r>
      <w:r w:rsidRPr="00D361C4">
        <w:rPr>
          <w:rFonts w:eastAsia="Calibri" w:hAnsi="Calibri"/>
          <w:sz w:val="30"/>
          <w:rtl/>
          <w:lang w:val="en-GB" w:eastAsia="zh-TW"/>
        </w:rPr>
        <w:t xml:space="preserve"> لأحكام الفقرة ٢ من المادة ١١ من الاتفاقية، وفقا</w:t>
      </w:r>
      <w:r>
        <w:rPr>
          <w:rFonts w:eastAsia="Calibri" w:hAnsi="Calibri" w:hint="cs"/>
          <w:sz w:val="30"/>
          <w:rtl/>
          <w:lang w:val="en-GB" w:eastAsia="zh-TW"/>
        </w:rPr>
        <w:t>ً</w:t>
      </w:r>
      <w:r w:rsidRPr="00D361C4">
        <w:rPr>
          <w:rFonts w:eastAsia="Calibri" w:hAnsi="Calibri"/>
          <w:sz w:val="30"/>
          <w:rtl/>
          <w:lang w:val="en-GB" w:eastAsia="zh-TW"/>
        </w:rPr>
        <w:t xml:space="preserve"> للاختصاصات المحددة في مرفق هذا المقرر؛</w:t>
      </w:r>
    </w:p>
    <w:p w14:paraId="7DD43D55" w14:textId="77777777" w:rsidR="00C45002" w:rsidRPr="00D361C4" w:rsidRDefault="00C45002" w:rsidP="00C45002">
      <w:pPr>
        <w:numPr>
          <w:ilvl w:val="0"/>
          <w:numId w:val="8"/>
        </w:numPr>
        <w:tabs>
          <w:tab w:val="left" w:pos="624"/>
          <w:tab w:val="left" w:pos="1132"/>
          <w:tab w:val="left" w:pos="2408"/>
          <w:tab w:val="left" w:pos="2975"/>
          <w:tab w:val="left" w:pos="3515"/>
        </w:tabs>
        <w:bidi/>
        <w:spacing w:after="120" w:line="400" w:lineRule="exact"/>
        <w:ind w:left="1134" w:firstLine="709"/>
        <w:jc w:val="both"/>
        <w:textDirection w:val="tbRlV"/>
        <w:rPr>
          <w:rFonts w:eastAsia="MS PGothic" w:hAnsi="Calibri"/>
          <w:sz w:val="30"/>
          <w:rtl/>
          <w:lang w:val="en-GB" w:eastAsia="zh-TW"/>
        </w:rPr>
      </w:pPr>
      <w:r w:rsidRPr="00D361C4">
        <w:rPr>
          <w:rFonts w:eastAsia="Calibri" w:hAnsi="Calibri"/>
          <w:i/>
          <w:iCs/>
          <w:sz w:val="30"/>
          <w:rtl/>
          <w:lang w:val="en-GB" w:eastAsia="zh-TW"/>
        </w:rPr>
        <w:t>يطلب</w:t>
      </w:r>
      <w:r w:rsidRPr="00D361C4">
        <w:rPr>
          <w:rFonts w:eastAsia="Calibri" w:hAnsi="Calibri"/>
          <w:sz w:val="30"/>
          <w:rtl/>
          <w:lang w:val="en-GB" w:eastAsia="zh-TW"/>
        </w:rPr>
        <w:t xml:space="preserve"> إلى الأمانة الدعوة إلى تقديم ترشيحات</w:t>
      </w:r>
      <w:r>
        <w:rPr>
          <w:rFonts w:eastAsia="Calibri" w:hAnsi="Calibri" w:hint="cs"/>
          <w:sz w:val="30"/>
          <w:rtl/>
          <w:lang w:val="en-GB" w:eastAsia="zh-TW"/>
        </w:rPr>
        <w:t>، عبر ممثلي المكتب،</w:t>
      </w:r>
      <w:r w:rsidRPr="00D361C4">
        <w:rPr>
          <w:rFonts w:eastAsia="Calibri" w:hAnsi="Calibri"/>
          <w:sz w:val="30"/>
          <w:rtl/>
          <w:lang w:val="en-GB" w:eastAsia="zh-TW"/>
        </w:rPr>
        <w:t xml:space="preserve"> </w:t>
      </w:r>
      <w:r>
        <w:rPr>
          <w:rFonts w:eastAsia="Calibri" w:hAnsi="Calibri" w:hint="cs"/>
          <w:sz w:val="30"/>
          <w:rtl/>
          <w:lang w:val="en-GB" w:eastAsia="zh-TW"/>
        </w:rPr>
        <w:t xml:space="preserve">لخمسة خبراء </w:t>
      </w:r>
      <w:r w:rsidRPr="00D361C4">
        <w:rPr>
          <w:rFonts w:eastAsia="Calibri" w:hAnsi="Calibri"/>
          <w:sz w:val="30"/>
          <w:rtl/>
          <w:lang w:val="en-GB" w:eastAsia="zh-TW"/>
        </w:rPr>
        <w:t xml:space="preserve">من الأطراف </w:t>
      </w:r>
      <w:r>
        <w:rPr>
          <w:rFonts w:eastAsia="Calibri" w:hAnsi="Calibri" w:hint="cs"/>
          <w:sz w:val="30"/>
          <w:rtl/>
          <w:lang w:val="en-GB" w:eastAsia="zh-TW"/>
        </w:rPr>
        <w:t>من كل منطقة من مناطق الأمم المتحدة الخمس</w:t>
      </w:r>
      <w:r w:rsidRPr="00D361C4">
        <w:rPr>
          <w:rFonts w:eastAsia="Calibri" w:hAnsi="Calibri"/>
          <w:sz w:val="30"/>
          <w:rtl/>
          <w:lang w:val="en-GB" w:eastAsia="zh-TW"/>
        </w:rPr>
        <w:t xml:space="preserve"> بحلول 15 كانون الثاني/يناير ٢٠١٩</w:t>
      </w:r>
      <w:r>
        <w:rPr>
          <w:rFonts w:eastAsia="Calibri" w:hAnsi="Calibri" w:hint="cs"/>
          <w:sz w:val="30"/>
          <w:rtl/>
          <w:lang w:val="en-GB" w:eastAsia="zh-TW"/>
        </w:rPr>
        <w:t>،</w:t>
      </w:r>
      <w:r w:rsidRPr="00D361C4">
        <w:rPr>
          <w:rFonts w:eastAsia="Calibri" w:hAnsi="Calibri"/>
          <w:sz w:val="30"/>
          <w:rtl/>
          <w:lang w:val="en-GB" w:eastAsia="zh-TW"/>
        </w:rPr>
        <w:t xml:space="preserve"> ودعم عمل الفريق؛</w:t>
      </w:r>
    </w:p>
    <w:p w14:paraId="5241D286" w14:textId="77777777" w:rsidR="00C45002" w:rsidRPr="0071740A" w:rsidRDefault="00C45002" w:rsidP="00C45002">
      <w:pPr>
        <w:numPr>
          <w:ilvl w:val="0"/>
          <w:numId w:val="8"/>
        </w:numPr>
        <w:tabs>
          <w:tab w:val="left" w:pos="624"/>
          <w:tab w:val="left" w:pos="1132"/>
          <w:tab w:val="left" w:pos="2408"/>
          <w:tab w:val="left" w:pos="2975"/>
          <w:tab w:val="left" w:pos="3515"/>
        </w:tabs>
        <w:bidi/>
        <w:spacing w:after="120" w:line="400" w:lineRule="exact"/>
        <w:ind w:left="1134" w:firstLine="709"/>
        <w:jc w:val="both"/>
        <w:textDirection w:val="tbRlV"/>
        <w:rPr>
          <w:rFonts w:eastAsia="MS PGothic" w:hAnsi="Calibri"/>
          <w:i/>
          <w:sz w:val="30"/>
          <w:rtl/>
          <w:lang w:val="en-GB" w:eastAsia="zh-TW"/>
        </w:rPr>
      </w:pPr>
      <w:r w:rsidRPr="00D361C4">
        <w:rPr>
          <w:rFonts w:eastAsia="Calibri" w:hAnsi="Calibri"/>
          <w:i/>
          <w:iCs/>
          <w:sz w:val="30"/>
          <w:rtl/>
          <w:lang w:val="en-GB" w:eastAsia="zh-TW"/>
        </w:rPr>
        <w:t>يدعو</w:t>
      </w:r>
      <w:r w:rsidRPr="00D361C4">
        <w:rPr>
          <w:rFonts w:eastAsia="Calibri" w:hAnsi="Calibri"/>
          <w:sz w:val="30"/>
          <w:rtl/>
          <w:lang w:val="en-GB" w:eastAsia="zh-TW"/>
        </w:rPr>
        <w:t xml:space="preserve"> مؤتمر الأطراف في اتفاقية بازل بشأن التحكم في نقل النفايات الخطرة والتخلص منها عبر الحدود إلى أن ينظر، حسب الاقتضاء، في استعراض المبادئ التوجيهية التقنية بشأن الإدارة السليمة بيئيا</w:t>
      </w:r>
      <w:r>
        <w:rPr>
          <w:rFonts w:eastAsia="Calibri" w:hAnsi="Calibri" w:hint="cs"/>
          <w:sz w:val="30"/>
          <w:rtl/>
          <w:lang w:val="en-GB" w:eastAsia="zh-TW"/>
        </w:rPr>
        <w:t>ً</w:t>
      </w:r>
      <w:r w:rsidRPr="00D361C4">
        <w:rPr>
          <w:rFonts w:eastAsia="Calibri" w:hAnsi="Calibri"/>
          <w:sz w:val="30"/>
          <w:rtl/>
          <w:lang w:val="en-GB" w:eastAsia="zh-TW"/>
        </w:rPr>
        <w:t xml:space="preserve"> للنفايات المكونة من الزئبق أو مركبات الزئبق أو المحتوية عليها أو الملوثة بها </w:t>
      </w:r>
      <w:r w:rsidRPr="005638DB">
        <w:rPr>
          <w:rFonts w:eastAsia="MS PGothic"/>
          <w:iCs/>
          <w:lang w:val="en-IE"/>
        </w:rPr>
        <w:t>(UNEP/CHW.12/5/Add.8/Rev.1)</w:t>
      </w:r>
      <w:r w:rsidRPr="00D361C4">
        <w:rPr>
          <w:rFonts w:eastAsia="Calibri" w:hAnsi="Calibri"/>
          <w:sz w:val="30"/>
          <w:rtl/>
          <w:lang w:val="en-GB" w:eastAsia="zh-TW"/>
        </w:rPr>
        <w:t>، مع تقديم توجيهات إضافية بخصوص بعض نفايات الزئبق؛</w:t>
      </w:r>
    </w:p>
    <w:p w14:paraId="42364734" w14:textId="77777777" w:rsidR="00C45002" w:rsidRPr="0071740A" w:rsidRDefault="00C45002" w:rsidP="00C45002">
      <w:pPr>
        <w:numPr>
          <w:ilvl w:val="0"/>
          <w:numId w:val="8"/>
        </w:numPr>
        <w:tabs>
          <w:tab w:val="left" w:pos="624"/>
          <w:tab w:val="left" w:pos="1132"/>
          <w:tab w:val="left" w:pos="2408"/>
          <w:tab w:val="left" w:pos="2975"/>
          <w:tab w:val="left" w:pos="3515"/>
        </w:tabs>
        <w:bidi/>
        <w:spacing w:after="120" w:line="400" w:lineRule="exact"/>
        <w:ind w:left="1134" w:firstLine="709"/>
        <w:jc w:val="both"/>
        <w:textDirection w:val="tbRlV"/>
        <w:rPr>
          <w:rFonts w:eastAsia="MS PGothic" w:hAnsi="Calibri"/>
          <w:sz w:val="30"/>
          <w:rtl/>
          <w:lang w:val="en-GB" w:eastAsia="zh-TW"/>
        </w:rPr>
      </w:pPr>
      <w:r w:rsidRPr="00D361C4">
        <w:rPr>
          <w:rFonts w:eastAsia="Calibri" w:hAnsi="Calibri"/>
          <w:i/>
          <w:iCs/>
          <w:sz w:val="30"/>
          <w:rtl/>
          <w:lang w:val="en-GB" w:eastAsia="zh-TW"/>
        </w:rPr>
        <w:t>يدعو</w:t>
      </w:r>
      <w:r w:rsidRPr="00D361C4">
        <w:rPr>
          <w:rFonts w:eastAsia="Calibri" w:hAnsi="Calibri"/>
          <w:sz w:val="30"/>
          <w:rtl/>
          <w:lang w:val="en-GB" w:eastAsia="zh-TW"/>
        </w:rPr>
        <w:t xml:space="preserve"> الأطراف إلى تقديم المعلومات التالية، مع الأخذ في الاعتبار المعلومات ذات الصلة الواردة في المبادئ التوجيهية التقنية المشار إليها في الفقرة ٣ </w:t>
      </w:r>
      <w:r>
        <w:rPr>
          <w:rFonts w:eastAsia="Calibri" w:hAnsi="Calibri" w:hint="cs"/>
          <w:sz w:val="30"/>
          <w:rtl/>
          <w:lang w:val="en-GB" w:eastAsia="zh-TW"/>
        </w:rPr>
        <w:t>من هذا المقرر</w:t>
      </w:r>
      <w:r w:rsidRPr="00D361C4">
        <w:rPr>
          <w:rFonts w:eastAsia="Calibri" w:hAnsi="Calibri"/>
          <w:sz w:val="30"/>
          <w:rtl/>
          <w:lang w:val="en-GB" w:eastAsia="zh-TW"/>
        </w:rPr>
        <w:t xml:space="preserve">، لكي يتسنى لأمانة اتفاقية </w:t>
      </w:r>
      <w:proofErr w:type="spellStart"/>
      <w:r w:rsidRPr="00D361C4">
        <w:rPr>
          <w:rFonts w:eastAsia="Calibri" w:hAnsi="Calibri"/>
          <w:sz w:val="30"/>
          <w:rtl/>
          <w:lang w:val="en-GB" w:eastAsia="zh-TW"/>
        </w:rPr>
        <w:t>ميناماتا</w:t>
      </w:r>
      <w:proofErr w:type="spellEnd"/>
      <w:r w:rsidRPr="00D361C4">
        <w:rPr>
          <w:rFonts w:eastAsia="Calibri" w:hAnsi="Calibri"/>
          <w:sz w:val="30"/>
          <w:rtl/>
          <w:lang w:val="en-GB" w:eastAsia="zh-TW"/>
        </w:rPr>
        <w:t xml:space="preserve"> تلخيص هذه المعلومات:</w:t>
      </w:r>
    </w:p>
    <w:p w14:paraId="37567EA4" w14:textId="77777777" w:rsidR="00C45002" w:rsidRPr="0071740A" w:rsidRDefault="00C45002" w:rsidP="00C45002">
      <w:pPr>
        <w:tabs>
          <w:tab w:val="left" w:pos="2408"/>
          <w:tab w:val="left" w:pos="2975"/>
        </w:tabs>
        <w:bidi/>
        <w:spacing w:after="120" w:line="400" w:lineRule="exact"/>
        <w:ind w:left="1134" w:firstLine="709"/>
        <w:jc w:val="both"/>
        <w:textDirection w:val="tbRlV"/>
        <w:rPr>
          <w:rFonts w:eastAsia="MS PGothic" w:hAnsi="Calibri"/>
          <w:i/>
          <w:sz w:val="30"/>
          <w:rtl/>
          <w:lang w:val="en-GB" w:eastAsia="zh-TW"/>
        </w:rPr>
      </w:pPr>
      <w:r>
        <w:rPr>
          <w:rFonts w:eastAsia="Calibri" w:hAnsi="Calibri"/>
          <w:sz w:val="30"/>
          <w:rtl/>
          <w:lang w:val="en-GB"/>
        </w:rPr>
        <w:t>(أ)</w:t>
      </w:r>
      <w:r>
        <w:rPr>
          <w:rFonts w:eastAsia="Calibri" w:hAnsi="Calibri"/>
          <w:sz w:val="30"/>
          <w:rtl/>
          <w:lang w:val="en-GB" w:eastAsia="zh-TW"/>
        </w:rPr>
        <w:tab/>
      </w:r>
      <w:r w:rsidRPr="00D361C4">
        <w:rPr>
          <w:rFonts w:eastAsia="Calibri" w:hAnsi="Calibri"/>
          <w:sz w:val="30"/>
          <w:rtl/>
          <w:lang w:val="en-GB" w:eastAsia="zh-TW"/>
        </w:rPr>
        <w:t xml:space="preserve">أمثلة على النفايات التي ستضاف إلى مرفق الوثيقة </w:t>
      </w:r>
      <w:r w:rsidRPr="005638DB">
        <w:rPr>
          <w:rFonts w:eastAsia="MS PGothic"/>
          <w:iCs/>
        </w:rPr>
        <w:t>UNEP/MC/COP.2/6</w:t>
      </w:r>
      <w:r w:rsidRPr="00D361C4">
        <w:rPr>
          <w:rFonts w:eastAsia="Calibri" w:hAnsi="Calibri"/>
          <w:sz w:val="30"/>
          <w:rtl/>
          <w:lang w:val="en-GB" w:eastAsia="zh-TW"/>
        </w:rPr>
        <w:t>، بما في ذلك، فيما يخص النفايات المكونة من مركبات الزئبق، الأسماء المحددة للمركبات، وفيما يخص النفايات المحتوية على الزئبق أو مركبات الزئبق (أي المنتجات المضاف إليها الزئبق)، أسماء وأنواع الزئبق أو مركبات الزئبق، والصور، إذا كانت متاحة؛</w:t>
      </w:r>
    </w:p>
    <w:p w14:paraId="0C4530E0" w14:textId="77777777" w:rsidR="00C45002" w:rsidRPr="0071740A" w:rsidRDefault="00C45002" w:rsidP="00C45002">
      <w:pPr>
        <w:tabs>
          <w:tab w:val="left" w:pos="2408"/>
          <w:tab w:val="left" w:pos="2975"/>
        </w:tabs>
        <w:bidi/>
        <w:spacing w:after="120" w:line="400" w:lineRule="exact"/>
        <w:ind w:left="1134" w:firstLine="709"/>
        <w:jc w:val="both"/>
        <w:textDirection w:val="tbRlV"/>
        <w:rPr>
          <w:rFonts w:eastAsia="MS PGothic" w:hAnsi="Calibri"/>
          <w:i/>
          <w:sz w:val="30"/>
          <w:rtl/>
          <w:lang w:val="en-GB" w:eastAsia="zh-TW"/>
        </w:rPr>
      </w:pPr>
      <w:r w:rsidRPr="00D361C4">
        <w:rPr>
          <w:rFonts w:eastAsia="Calibri" w:hAnsi="Calibri"/>
          <w:sz w:val="30"/>
          <w:rtl/>
          <w:lang w:val="en-GB"/>
        </w:rPr>
        <w:t>(ب)</w:t>
      </w:r>
      <w:r w:rsidRPr="00D361C4">
        <w:rPr>
          <w:rFonts w:eastAsia="Calibri" w:hAnsi="Calibri"/>
          <w:sz w:val="30"/>
          <w:rtl/>
          <w:lang w:val="en-GB"/>
        </w:rPr>
        <w:tab/>
      </w:r>
      <w:r w:rsidRPr="00D361C4">
        <w:rPr>
          <w:rFonts w:eastAsia="Calibri" w:hAnsi="Calibri"/>
          <w:sz w:val="30"/>
          <w:rtl/>
          <w:lang w:val="en-GB" w:eastAsia="zh-TW"/>
        </w:rPr>
        <w:t>الممارسات الحالية لإدارة الغطاء الصخري ونفايات الصخور ومخلفات التعدين بخلاف التعدين الأولي للزئبق (مثلاً، القوانين واللوائح والمبادئ التوجيهية) والنهج المختلفة للتعامل مع عتبات الحذر/المناولة الخاصة، إن وجدت؛</w:t>
      </w:r>
    </w:p>
    <w:p w14:paraId="5570A5F0" w14:textId="77777777" w:rsidR="00C45002" w:rsidRPr="0071740A" w:rsidRDefault="00C45002" w:rsidP="00C45002">
      <w:pPr>
        <w:tabs>
          <w:tab w:val="left" w:pos="2408"/>
          <w:tab w:val="left" w:pos="2975"/>
        </w:tabs>
        <w:bidi/>
        <w:spacing w:after="120" w:line="400" w:lineRule="exact"/>
        <w:ind w:left="1134" w:firstLine="709"/>
        <w:jc w:val="both"/>
        <w:textDirection w:val="tbRlV"/>
        <w:rPr>
          <w:rFonts w:eastAsia="MS PGothic" w:hAnsi="Calibri"/>
          <w:sz w:val="30"/>
          <w:rtl/>
          <w:lang w:val="en-GB" w:eastAsia="zh-TW"/>
        </w:rPr>
      </w:pPr>
      <w:r w:rsidRPr="00D361C4">
        <w:rPr>
          <w:rFonts w:eastAsia="Calibri" w:hAnsi="Calibri"/>
          <w:sz w:val="30"/>
          <w:rtl/>
          <w:lang w:val="en-GB"/>
        </w:rPr>
        <w:t>(ج)</w:t>
      </w:r>
      <w:r w:rsidRPr="00D361C4">
        <w:rPr>
          <w:rFonts w:eastAsia="Calibri" w:hAnsi="Calibri"/>
          <w:sz w:val="30"/>
          <w:rtl/>
          <w:lang w:val="en-GB"/>
        </w:rPr>
        <w:tab/>
      </w:r>
      <w:r w:rsidRPr="00D361C4">
        <w:rPr>
          <w:rFonts w:eastAsia="Calibri" w:hAnsi="Calibri"/>
          <w:sz w:val="30"/>
          <w:rtl/>
          <w:lang w:val="en-GB" w:eastAsia="zh-TW"/>
        </w:rPr>
        <w:t xml:space="preserve">أساليب أخذ العينات والتحليل التي قد تكون مفيدة </w:t>
      </w:r>
      <w:r>
        <w:rPr>
          <w:rFonts w:eastAsia="Calibri" w:hAnsi="Calibri" w:hint="cs"/>
          <w:sz w:val="30"/>
          <w:rtl/>
          <w:lang w:val="en-GB" w:eastAsia="zh-TW"/>
        </w:rPr>
        <w:t>في ا</w:t>
      </w:r>
      <w:r w:rsidRPr="00D361C4">
        <w:rPr>
          <w:rFonts w:eastAsia="Calibri" w:hAnsi="Calibri"/>
          <w:sz w:val="30"/>
          <w:rtl/>
          <w:lang w:val="en-GB" w:eastAsia="zh-TW"/>
        </w:rPr>
        <w:t xml:space="preserve">لتحقق من عتبات </w:t>
      </w:r>
      <w:r w:rsidRPr="0071740A">
        <w:rPr>
          <w:rFonts w:eastAsia="Calibri" w:hAnsi="Calibri"/>
          <w:sz w:val="30"/>
          <w:rtl/>
          <w:lang w:val="en-GB" w:eastAsia="zh-TW"/>
        </w:rPr>
        <w:t>النفايات؛</w:t>
      </w:r>
    </w:p>
    <w:p w14:paraId="5D9ADA9A" w14:textId="77777777" w:rsidR="00C45002" w:rsidRPr="00D361C4" w:rsidRDefault="00C45002" w:rsidP="00C45002">
      <w:pPr>
        <w:numPr>
          <w:ilvl w:val="0"/>
          <w:numId w:val="8"/>
        </w:numPr>
        <w:tabs>
          <w:tab w:val="left" w:pos="2408"/>
          <w:tab w:val="left" w:pos="2975"/>
          <w:tab w:val="left" w:pos="3515"/>
        </w:tabs>
        <w:bidi/>
        <w:spacing w:after="120" w:line="400" w:lineRule="exact"/>
        <w:ind w:left="1134" w:firstLine="709"/>
        <w:jc w:val="both"/>
        <w:textDirection w:val="tbRlV"/>
        <w:rPr>
          <w:rFonts w:eastAsia="MS PGothic" w:hAnsi="Calibri"/>
          <w:sz w:val="30"/>
          <w:rtl/>
          <w:lang w:val="en-GB" w:eastAsia="zh-TW"/>
        </w:rPr>
      </w:pPr>
      <w:r w:rsidRPr="00D361C4">
        <w:rPr>
          <w:rFonts w:eastAsia="Calibri" w:hAnsi="Calibri"/>
          <w:i/>
          <w:iCs/>
          <w:sz w:val="30"/>
          <w:rtl/>
          <w:lang w:val="en-GB" w:eastAsia="zh-TW"/>
        </w:rPr>
        <w:t>يطلب</w:t>
      </w:r>
      <w:r w:rsidRPr="00D361C4">
        <w:rPr>
          <w:rFonts w:eastAsia="Calibri" w:hAnsi="Calibri"/>
          <w:sz w:val="30"/>
          <w:rtl/>
          <w:lang w:val="en-GB" w:eastAsia="zh-TW"/>
        </w:rPr>
        <w:t xml:space="preserve"> إلى الأمانة أن تقدم إلى مؤتمر الأطراف في اجتماعه الثالث تقريراً عن ن</w:t>
      </w:r>
      <w:r>
        <w:rPr>
          <w:rFonts w:eastAsia="Calibri" w:hAnsi="Calibri"/>
          <w:sz w:val="30"/>
          <w:rtl/>
          <w:lang w:val="en-GB" w:eastAsia="zh-TW"/>
        </w:rPr>
        <w:t>تائج عمل فريق الخبراء التقنيين؛</w:t>
      </w:r>
    </w:p>
    <w:p w14:paraId="18C12DCC" w14:textId="77777777" w:rsidR="00C45002" w:rsidRPr="00D361C4" w:rsidRDefault="00C45002" w:rsidP="00C45002">
      <w:pPr>
        <w:numPr>
          <w:ilvl w:val="0"/>
          <w:numId w:val="8"/>
        </w:numPr>
        <w:tabs>
          <w:tab w:val="left" w:pos="2408"/>
          <w:tab w:val="left" w:pos="2975"/>
          <w:tab w:val="left" w:pos="3515"/>
        </w:tabs>
        <w:bidi/>
        <w:spacing w:after="120" w:line="400" w:lineRule="exact"/>
        <w:ind w:left="1134" w:firstLine="709"/>
        <w:jc w:val="both"/>
        <w:textDirection w:val="tbRlV"/>
        <w:rPr>
          <w:rFonts w:eastAsia="MS PGothic" w:hAnsi="Calibri"/>
          <w:sz w:val="30"/>
          <w:rtl/>
          <w:lang w:val="en-GB" w:eastAsia="zh-TW"/>
        </w:rPr>
      </w:pPr>
      <w:r w:rsidRPr="00D361C4">
        <w:rPr>
          <w:rFonts w:eastAsia="Calibri" w:hAnsi="Calibri"/>
          <w:i/>
          <w:iCs/>
          <w:sz w:val="30"/>
          <w:rtl/>
          <w:lang w:val="en-GB" w:eastAsia="zh-TW"/>
        </w:rPr>
        <w:t>يقرر</w:t>
      </w:r>
      <w:r w:rsidRPr="00D361C4">
        <w:rPr>
          <w:rFonts w:eastAsia="Calibri" w:hAnsi="Calibri"/>
          <w:sz w:val="30"/>
          <w:rtl/>
          <w:lang w:val="en-GB" w:eastAsia="zh-TW"/>
        </w:rPr>
        <w:t xml:space="preserve"> أن يستعرض في اجتماعه الثالث التقدم الذي أحرزه فريق الخبراء التقنيين،</w:t>
      </w:r>
      <w:r>
        <w:rPr>
          <w:rFonts w:eastAsia="Calibri" w:hAnsi="Calibri"/>
          <w:sz w:val="30"/>
          <w:rtl/>
          <w:lang w:val="en-GB" w:eastAsia="zh-TW"/>
        </w:rPr>
        <w:t xml:space="preserve"> والبت في اتخاذ إجراءات أخرى.</w:t>
      </w:r>
    </w:p>
    <w:p w14:paraId="4606BB82" w14:textId="77777777" w:rsidR="00C45002" w:rsidRPr="00930CF3" w:rsidRDefault="00C45002" w:rsidP="00C45002">
      <w:pPr>
        <w:tabs>
          <w:tab w:val="left" w:pos="1247"/>
          <w:tab w:val="left" w:pos="1814"/>
          <w:tab w:val="left" w:pos="2381"/>
          <w:tab w:val="left" w:pos="2948"/>
          <w:tab w:val="left" w:pos="3515"/>
          <w:tab w:val="left" w:pos="4082"/>
        </w:tabs>
        <w:bidi/>
        <w:spacing w:after="240" w:line="400" w:lineRule="exact"/>
        <w:ind w:left="1134"/>
        <w:jc w:val="both"/>
        <w:textDirection w:val="tbRlV"/>
        <w:rPr>
          <w:rFonts w:eastAsia="Calibri" w:hAnsi="Calibri"/>
          <w:b/>
          <w:bCs/>
          <w:sz w:val="32"/>
          <w:szCs w:val="32"/>
          <w:rtl/>
          <w:lang w:val="en-GB" w:eastAsia="zh-TW"/>
        </w:rPr>
      </w:pPr>
      <w:r w:rsidRPr="00930CF3">
        <w:rPr>
          <w:rFonts w:eastAsia="Calibri" w:hAnsi="Calibri"/>
          <w:b/>
          <w:bCs/>
          <w:sz w:val="32"/>
          <w:szCs w:val="32"/>
          <w:rtl/>
          <w:lang w:val="en-GB" w:eastAsia="zh-TW"/>
        </w:rPr>
        <w:t>مرفق</w:t>
      </w:r>
      <w:r w:rsidRPr="00930CF3">
        <w:rPr>
          <w:rFonts w:eastAsia="Calibri" w:hAnsi="Calibri" w:hint="cs"/>
          <w:b/>
          <w:bCs/>
          <w:sz w:val="32"/>
          <w:szCs w:val="32"/>
          <w:rtl/>
          <w:lang w:val="en-GB" w:eastAsia="zh-TW"/>
        </w:rPr>
        <w:t xml:space="preserve"> المقرر ا م-2/2</w:t>
      </w:r>
    </w:p>
    <w:p w14:paraId="0B54403F" w14:textId="77777777" w:rsidR="00C45002" w:rsidRPr="00930CF3" w:rsidRDefault="00C45002" w:rsidP="00C45002">
      <w:pPr>
        <w:tabs>
          <w:tab w:val="left" w:pos="1814"/>
          <w:tab w:val="left" w:pos="2381"/>
          <w:tab w:val="left" w:pos="2948"/>
          <w:tab w:val="left" w:pos="3515"/>
          <w:tab w:val="left" w:pos="4082"/>
        </w:tabs>
        <w:bidi/>
        <w:spacing w:after="120" w:line="400" w:lineRule="exact"/>
        <w:ind w:left="1134"/>
        <w:jc w:val="both"/>
        <w:textDirection w:val="tbRlV"/>
        <w:rPr>
          <w:rFonts w:eastAsia="Calibri" w:hAnsi="Calibri"/>
          <w:b/>
          <w:bCs/>
          <w:sz w:val="32"/>
          <w:szCs w:val="32"/>
          <w:rtl/>
          <w:lang w:val="en-GB" w:eastAsia="zh-TW"/>
        </w:rPr>
      </w:pPr>
      <w:r w:rsidRPr="00930CF3">
        <w:rPr>
          <w:rFonts w:eastAsia="Calibri" w:hAnsi="Calibri"/>
          <w:b/>
          <w:bCs/>
          <w:sz w:val="32"/>
          <w:szCs w:val="32"/>
          <w:rtl/>
          <w:lang w:val="en-GB" w:eastAsia="zh-TW"/>
        </w:rPr>
        <w:t xml:space="preserve">مشروع اختصاصات فريق الخبراء التقنيين المعني بعتبات نفايات </w:t>
      </w:r>
      <w:r w:rsidRPr="00930CF3">
        <w:rPr>
          <w:rFonts w:eastAsia="Calibri" w:hAnsi="Calibri" w:hint="cs"/>
          <w:b/>
          <w:bCs/>
          <w:sz w:val="32"/>
          <w:szCs w:val="32"/>
          <w:rtl/>
          <w:lang w:val="en-GB" w:eastAsia="zh-TW"/>
        </w:rPr>
        <w:t xml:space="preserve">الزئبق </w:t>
      </w:r>
      <w:r w:rsidRPr="00930CF3">
        <w:rPr>
          <w:rFonts w:eastAsia="Calibri" w:hAnsi="Calibri"/>
          <w:b/>
          <w:bCs/>
          <w:sz w:val="32"/>
          <w:szCs w:val="32"/>
          <w:rtl/>
          <w:lang w:val="en-GB" w:eastAsia="zh-TW"/>
        </w:rPr>
        <w:t>التي ستحدد عملاً بالفقرة ٢ من المادة ١١ من الاتفاقية</w:t>
      </w:r>
    </w:p>
    <w:p w14:paraId="3A317872" w14:textId="77777777" w:rsidR="00C45002" w:rsidRPr="0071740A" w:rsidRDefault="00C45002" w:rsidP="00C45002">
      <w:pPr>
        <w:keepNext/>
        <w:keepLines/>
        <w:tabs>
          <w:tab w:val="left" w:pos="1814"/>
          <w:tab w:val="left" w:pos="2381"/>
          <w:tab w:val="left" w:pos="2948"/>
          <w:tab w:val="left" w:pos="3515"/>
          <w:tab w:val="left" w:pos="4082"/>
        </w:tabs>
        <w:suppressAutoHyphens/>
        <w:bidi/>
        <w:spacing w:before="240" w:after="120" w:line="400" w:lineRule="exact"/>
        <w:ind w:left="1134" w:right="284" w:hanging="710"/>
        <w:jc w:val="both"/>
        <w:textDirection w:val="tbRlV"/>
        <w:rPr>
          <w:rFonts w:eastAsia="Calibri" w:hAnsi="Calibri"/>
          <w:bCs/>
          <w:sz w:val="32"/>
          <w:szCs w:val="32"/>
          <w:rtl/>
          <w:lang w:val="en-GB" w:eastAsia="zh-TW"/>
        </w:rPr>
      </w:pPr>
      <w:r w:rsidRPr="0071740A">
        <w:rPr>
          <w:rFonts w:eastAsia="Calibri" w:hAnsi="Calibri"/>
          <w:bCs/>
          <w:sz w:val="32"/>
          <w:szCs w:val="32"/>
          <w:rtl/>
          <w:lang w:val="en-GB" w:eastAsia="zh-TW"/>
        </w:rPr>
        <w:t>أولا</w:t>
      </w:r>
      <w:r w:rsidRPr="0071740A">
        <w:rPr>
          <w:rFonts w:eastAsia="Calibri" w:hAnsi="Calibri" w:hint="cs"/>
          <w:bCs/>
          <w:sz w:val="32"/>
          <w:szCs w:val="32"/>
          <w:rtl/>
          <w:lang w:val="en-GB" w:eastAsia="zh-TW"/>
        </w:rPr>
        <w:t>ً</w:t>
      </w:r>
      <w:r w:rsidRPr="0071740A">
        <w:rPr>
          <w:rFonts w:eastAsia="Calibri" w:hAnsi="Calibri"/>
          <w:bCs/>
          <w:sz w:val="32"/>
          <w:szCs w:val="32"/>
          <w:rtl/>
          <w:lang w:val="en-GB" w:eastAsia="zh-TW"/>
        </w:rPr>
        <w:t>-</w:t>
      </w:r>
      <w:r w:rsidRPr="0071740A">
        <w:rPr>
          <w:rFonts w:eastAsia="Calibri" w:hAnsi="Calibri" w:hint="cs"/>
          <w:bCs/>
          <w:sz w:val="32"/>
          <w:szCs w:val="32"/>
          <w:rtl/>
          <w:lang w:val="en-GB" w:eastAsia="zh-TW"/>
        </w:rPr>
        <w:tab/>
      </w:r>
      <w:r w:rsidRPr="0071740A">
        <w:rPr>
          <w:rFonts w:eastAsia="Calibri" w:hAnsi="Calibri"/>
          <w:bCs/>
          <w:sz w:val="32"/>
          <w:szCs w:val="32"/>
          <w:rtl/>
          <w:lang w:val="en-GB" w:eastAsia="zh-TW"/>
        </w:rPr>
        <w:t>الولاية</w:t>
      </w:r>
    </w:p>
    <w:p w14:paraId="16E672CD" w14:textId="77777777" w:rsidR="00C45002" w:rsidRPr="00D361C4" w:rsidRDefault="00C45002" w:rsidP="00C45002">
      <w:pPr>
        <w:numPr>
          <w:ilvl w:val="0"/>
          <w:numId w:val="7"/>
        </w:numPr>
        <w:tabs>
          <w:tab w:val="left" w:pos="1841"/>
          <w:tab w:val="left" w:pos="2408"/>
          <w:tab w:val="left" w:pos="2975"/>
          <w:tab w:val="left" w:pos="3515"/>
        </w:tabs>
        <w:bidi/>
        <w:spacing w:after="120" w:line="400" w:lineRule="exact"/>
        <w:ind w:left="1134" w:firstLine="0"/>
        <w:jc w:val="both"/>
        <w:textDirection w:val="tbRlV"/>
        <w:rPr>
          <w:rFonts w:ascii="Traditional Arabic" w:hAnsi="Traditional Arabic"/>
          <w:sz w:val="30"/>
          <w:rtl/>
          <w:lang w:val="en-GB" w:eastAsia="zh-TW"/>
        </w:rPr>
      </w:pPr>
      <w:r w:rsidRPr="00D361C4">
        <w:rPr>
          <w:rFonts w:ascii="Traditional Arabic" w:hAnsi="Traditional Arabic"/>
          <w:sz w:val="30"/>
          <w:rtl/>
          <w:lang w:val="en-GB" w:eastAsia="zh-TW"/>
        </w:rPr>
        <w:t xml:space="preserve">أنشأ مؤتمر الأطراف في اتفاقية </w:t>
      </w:r>
      <w:proofErr w:type="spellStart"/>
      <w:r w:rsidRPr="00D361C4">
        <w:rPr>
          <w:rFonts w:ascii="Traditional Arabic" w:hAnsi="Traditional Arabic"/>
          <w:sz w:val="30"/>
          <w:rtl/>
          <w:lang w:val="en-GB" w:eastAsia="zh-TW"/>
        </w:rPr>
        <w:t>ميناماتا</w:t>
      </w:r>
      <w:proofErr w:type="spellEnd"/>
      <w:r w:rsidRPr="00D361C4">
        <w:rPr>
          <w:rFonts w:ascii="Traditional Arabic" w:hAnsi="Traditional Arabic"/>
          <w:sz w:val="30"/>
          <w:rtl/>
          <w:lang w:val="en-GB" w:eastAsia="zh-TW"/>
        </w:rPr>
        <w:t xml:space="preserve"> بشأن الزئبق في اجتماعه الثاني، بموجب المقرر ا</w:t>
      </w:r>
      <w:r>
        <w:rPr>
          <w:rFonts w:ascii="Traditional Arabic" w:hAnsi="Traditional Arabic" w:hint="cs"/>
          <w:sz w:val="30"/>
          <w:rtl/>
          <w:lang w:val="en-GB" w:eastAsia="zh-TW"/>
        </w:rPr>
        <w:t xml:space="preserve"> </w:t>
      </w:r>
      <w:r w:rsidRPr="00D361C4">
        <w:rPr>
          <w:rFonts w:ascii="Traditional Arabic" w:hAnsi="Traditional Arabic"/>
          <w:sz w:val="30"/>
          <w:rtl/>
          <w:lang w:val="en-GB" w:eastAsia="zh-TW"/>
        </w:rPr>
        <w:t>م</w:t>
      </w:r>
      <w:r>
        <w:rPr>
          <w:rFonts w:ascii="Traditional Arabic" w:hAnsi="Traditional Arabic" w:hint="cs"/>
          <w:sz w:val="30"/>
          <w:rtl/>
          <w:lang w:val="en-GB" w:eastAsia="zh-TW"/>
        </w:rPr>
        <w:t xml:space="preserve"> </w:t>
      </w:r>
      <w:r w:rsidRPr="00D361C4">
        <w:rPr>
          <w:rFonts w:ascii="Traditional Arabic" w:hAnsi="Traditional Arabic"/>
          <w:sz w:val="30"/>
          <w:rtl/>
          <w:lang w:val="en-GB" w:eastAsia="zh-TW"/>
        </w:rPr>
        <w:t>٢/</w:t>
      </w:r>
      <w:r>
        <w:rPr>
          <w:rFonts w:ascii="Traditional Arabic" w:hAnsi="Traditional Arabic" w:hint="cs"/>
          <w:sz w:val="30"/>
          <w:rtl/>
          <w:lang w:val="en-GB" w:eastAsia="zh-TW"/>
        </w:rPr>
        <w:t>2</w:t>
      </w:r>
      <w:r w:rsidRPr="00D361C4">
        <w:rPr>
          <w:rFonts w:ascii="Traditional Arabic" w:hAnsi="Traditional Arabic"/>
          <w:sz w:val="30"/>
          <w:rtl/>
          <w:lang w:val="en-GB" w:eastAsia="zh-TW"/>
        </w:rPr>
        <w:t xml:space="preserve"> فريق خبراء تقنيين للمضي قدما</w:t>
      </w:r>
      <w:r>
        <w:rPr>
          <w:rFonts w:ascii="Traditional Arabic" w:hAnsi="Traditional Arabic" w:hint="cs"/>
          <w:sz w:val="30"/>
          <w:rtl/>
          <w:lang w:val="en-GB" w:eastAsia="zh-TW"/>
        </w:rPr>
        <w:t>ً</w:t>
      </w:r>
      <w:r w:rsidRPr="00D361C4">
        <w:rPr>
          <w:rFonts w:ascii="Traditional Arabic" w:hAnsi="Traditional Arabic"/>
          <w:sz w:val="30"/>
          <w:rtl/>
          <w:lang w:val="en-GB" w:eastAsia="zh-TW"/>
        </w:rPr>
        <w:t xml:space="preserve"> في المناقشات المتعلقة بعتبات نفايات الزئبق خلال فترة ما بين الاجتماعين </w:t>
      </w:r>
      <w:proofErr w:type="spellStart"/>
      <w:r w:rsidRPr="00D361C4">
        <w:rPr>
          <w:rFonts w:ascii="Traditional Arabic" w:hAnsi="Traditional Arabic"/>
          <w:sz w:val="30"/>
          <w:rtl/>
          <w:lang w:val="en-GB" w:eastAsia="zh-TW"/>
        </w:rPr>
        <w:t>المفضية</w:t>
      </w:r>
      <w:proofErr w:type="spellEnd"/>
      <w:r w:rsidRPr="00D361C4">
        <w:rPr>
          <w:rFonts w:ascii="Traditional Arabic" w:hAnsi="Traditional Arabic"/>
          <w:sz w:val="30"/>
          <w:rtl/>
          <w:lang w:val="en-GB" w:eastAsia="zh-TW"/>
        </w:rPr>
        <w:t xml:space="preserve"> إلى الاجتماع الثالث لمؤتمر الأطراف، وفقا</w:t>
      </w:r>
      <w:r>
        <w:rPr>
          <w:rFonts w:ascii="Traditional Arabic" w:hAnsi="Traditional Arabic" w:hint="cs"/>
          <w:sz w:val="30"/>
          <w:rtl/>
          <w:lang w:val="en-GB" w:eastAsia="zh-TW"/>
        </w:rPr>
        <w:t>ً</w:t>
      </w:r>
      <w:r w:rsidRPr="00D361C4">
        <w:rPr>
          <w:rFonts w:ascii="Traditional Arabic" w:hAnsi="Traditional Arabic"/>
          <w:sz w:val="30"/>
          <w:rtl/>
          <w:lang w:val="en-GB" w:eastAsia="zh-TW"/>
        </w:rPr>
        <w:t xml:space="preserve"> لأحكام الفقرة ٢ من المادة ١١ من الاتفاقية، وطلب إلى الأمانة الدعوة </w:t>
      </w:r>
      <w:r w:rsidRPr="00D361C4">
        <w:rPr>
          <w:rFonts w:ascii="Traditional Arabic" w:hAnsi="Traditional Arabic"/>
          <w:sz w:val="30"/>
          <w:rtl/>
          <w:lang w:val="en-GB" w:eastAsia="zh-TW"/>
        </w:rPr>
        <w:lastRenderedPageBreak/>
        <w:t>إلى تقديم ترشيحات من الأطراف لأعضاء الفريق بحلول ١٥ كانون الثاني/يناير ٢٠١٩. وطلب أيضا</w:t>
      </w:r>
      <w:r>
        <w:rPr>
          <w:rFonts w:ascii="Traditional Arabic" w:hAnsi="Traditional Arabic" w:hint="cs"/>
          <w:sz w:val="30"/>
          <w:rtl/>
          <w:lang w:val="en-GB" w:eastAsia="zh-TW"/>
        </w:rPr>
        <w:t>ً</w:t>
      </w:r>
      <w:r w:rsidRPr="00D361C4">
        <w:rPr>
          <w:rFonts w:ascii="Traditional Arabic" w:hAnsi="Traditional Arabic"/>
          <w:sz w:val="30"/>
          <w:rtl/>
          <w:lang w:val="en-GB" w:eastAsia="zh-TW"/>
        </w:rPr>
        <w:t xml:space="preserve"> إلى الفريق أن يعقد اجتماعه الأول في أقرب فرصة ممكنة بعد مؤتمر الأطراف الثاني.</w:t>
      </w:r>
    </w:p>
    <w:p w14:paraId="21CEDD98" w14:textId="77777777" w:rsidR="00C45002" w:rsidRPr="00D361C4" w:rsidRDefault="00C45002" w:rsidP="00C45002">
      <w:pPr>
        <w:numPr>
          <w:ilvl w:val="0"/>
          <w:numId w:val="7"/>
        </w:numPr>
        <w:tabs>
          <w:tab w:val="left" w:pos="1841"/>
          <w:tab w:val="left" w:pos="2408"/>
          <w:tab w:val="left" w:pos="2975"/>
          <w:tab w:val="left" w:pos="3515"/>
        </w:tabs>
        <w:bidi/>
        <w:spacing w:after="120" w:line="400" w:lineRule="exact"/>
        <w:ind w:left="1134" w:firstLine="0"/>
        <w:jc w:val="both"/>
        <w:textDirection w:val="tbRlV"/>
        <w:rPr>
          <w:rFonts w:ascii="Traditional Arabic" w:hAnsi="Traditional Arabic"/>
          <w:sz w:val="30"/>
          <w:rtl/>
          <w:lang w:val="en-GB" w:eastAsia="zh-TW"/>
        </w:rPr>
      </w:pPr>
      <w:r w:rsidRPr="00D361C4">
        <w:rPr>
          <w:rFonts w:ascii="Traditional Arabic" w:hAnsi="Traditional Arabic"/>
          <w:sz w:val="30"/>
          <w:rtl/>
          <w:lang w:val="en-GB" w:eastAsia="zh-TW"/>
        </w:rPr>
        <w:t>وستتركز مناقشات فريق الخبراء على المسائل التالية، مع الأخذ في الاعتبار العمل الذي قام به في السابق الخبراء في العملية المفتوحة عملاً بالمقرر ا</w:t>
      </w:r>
      <w:r>
        <w:rPr>
          <w:rFonts w:ascii="Traditional Arabic" w:hAnsi="Traditional Arabic" w:hint="cs"/>
          <w:sz w:val="30"/>
          <w:rtl/>
          <w:lang w:val="en-GB" w:eastAsia="zh-TW"/>
        </w:rPr>
        <w:t xml:space="preserve"> </w:t>
      </w:r>
      <w:r w:rsidRPr="00D361C4">
        <w:rPr>
          <w:rFonts w:ascii="Traditional Arabic" w:hAnsi="Traditional Arabic"/>
          <w:sz w:val="30"/>
          <w:rtl/>
          <w:lang w:val="en-GB" w:eastAsia="zh-TW"/>
        </w:rPr>
        <w:t>م</w:t>
      </w:r>
      <w:r>
        <w:rPr>
          <w:rFonts w:ascii="Traditional Arabic" w:hAnsi="Traditional Arabic"/>
          <w:sz w:val="30"/>
          <w:lang w:val="en-GB" w:eastAsia="zh-TW"/>
        </w:rPr>
        <w:t>-</w:t>
      </w:r>
      <w:r w:rsidRPr="00D361C4">
        <w:rPr>
          <w:rFonts w:ascii="Traditional Arabic" w:hAnsi="Traditional Arabic"/>
          <w:sz w:val="30"/>
          <w:rtl/>
          <w:lang w:val="en-GB" w:eastAsia="zh-TW"/>
        </w:rPr>
        <w:t>1/19 والاجتماع الثاني لمؤتمر الأطراف:</w:t>
      </w:r>
    </w:p>
    <w:p w14:paraId="1817CFC3" w14:textId="77777777" w:rsidR="00C45002" w:rsidRPr="00D361C4" w:rsidRDefault="00C45002" w:rsidP="00C45002">
      <w:pPr>
        <w:tabs>
          <w:tab w:val="left" w:pos="1841"/>
          <w:tab w:val="left" w:pos="2408"/>
          <w:tab w:val="left" w:pos="2975"/>
        </w:tabs>
        <w:bidi/>
        <w:spacing w:after="120" w:line="400" w:lineRule="exact"/>
        <w:ind w:left="1134" w:firstLine="624"/>
        <w:jc w:val="both"/>
        <w:textDirection w:val="tbRlV"/>
        <w:rPr>
          <w:rFonts w:ascii="Traditional Arabic" w:hAnsi="Traditional Arabic"/>
          <w:sz w:val="30"/>
          <w:rtl/>
          <w:lang w:val="en-GB" w:eastAsia="zh-TW"/>
        </w:rPr>
      </w:pPr>
      <w:r>
        <w:rPr>
          <w:rFonts w:ascii="Traditional Arabic" w:hAnsi="Traditional Arabic"/>
          <w:sz w:val="30"/>
          <w:rtl/>
          <w:lang w:val="en-GB"/>
        </w:rPr>
        <w:t>(أ)</w:t>
      </w:r>
      <w:r>
        <w:rPr>
          <w:rFonts w:ascii="Traditional Arabic" w:hAnsi="Traditional Arabic"/>
          <w:sz w:val="30"/>
          <w:rtl/>
          <w:lang w:val="en-GB"/>
        </w:rPr>
        <w:tab/>
      </w:r>
      <w:r w:rsidRPr="00D361C4">
        <w:rPr>
          <w:rFonts w:ascii="Traditional Arabic" w:hAnsi="Traditional Arabic"/>
          <w:sz w:val="30"/>
          <w:rtl/>
          <w:lang w:val="en-GB" w:eastAsia="zh-TW"/>
        </w:rPr>
        <w:t>العمل على زيادة توضيح وتنقيح تغطية كل فئة من فئات نفايات الزئبق الثلاث ال</w:t>
      </w:r>
      <w:r>
        <w:rPr>
          <w:rFonts w:ascii="Traditional Arabic" w:hAnsi="Traditional Arabic"/>
          <w:sz w:val="30"/>
          <w:rtl/>
          <w:lang w:val="en-GB" w:eastAsia="zh-TW"/>
        </w:rPr>
        <w:t>مدرجة في الفقرة ٢ من المادة ١١؛</w:t>
      </w:r>
    </w:p>
    <w:p w14:paraId="648A2083" w14:textId="77777777" w:rsidR="00C45002" w:rsidRPr="00D361C4" w:rsidRDefault="00C45002" w:rsidP="00C45002">
      <w:pPr>
        <w:tabs>
          <w:tab w:val="left" w:pos="1841"/>
          <w:tab w:val="left" w:pos="2408"/>
          <w:tab w:val="left" w:pos="2975"/>
        </w:tabs>
        <w:bidi/>
        <w:spacing w:after="120" w:line="400" w:lineRule="exact"/>
        <w:ind w:left="1134" w:firstLine="624"/>
        <w:jc w:val="both"/>
        <w:textDirection w:val="tbRlV"/>
        <w:rPr>
          <w:rFonts w:ascii="Traditional Arabic" w:hAnsi="Traditional Arabic"/>
          <w:sz w:val="30"/>
          <w:rtl/>
          <w:lang w:val="en-GB" w:eastAsia="zh-TW"/>
        </w:rPr>
      </w:pPr>
      <w:r w:rsidRPr="00D361C4">
        <w:rPr>
          <w:rFonts w:ascii="Traditional Arabic" w:hAnsi="Traditional Arabic"/>
          <w:sz w:val="30"/>
          <w:rtl/>
          <w:lang w:val="en-GB"/>
        </w:rPr>
        <w:t>(ب)</w:t>
      </w:r>
      <w:r w:rsidRPr="00D361C4">
        <w:rPr>
          <w:rFonts w:ascii="Traditional Arabic" w:hAnsi="Traditional Arabic"/>
          <w:sz w:val="30"/>
          <w:rtl/>
          <w:lang w:val="en-GB"/>
        </w:rPr>
        <w:tab/>
      </w:r>
      <w:r w:rsidRPr="00D361C4">
        <w:rPr>
          <w:rFonts w:ascii="Traditional Arabic" w:hAnsi="Traditional Arabic"/>
          <w:sz w:val="30"/>
          <w:rtl/>
          <w:lang w:val="en-GB" w:eastAsia="zh-TW"/>
        </w:rPr>
        <w:t>وضع قائمة شاملة لنفايات الزئبق التي تندرج ضمن الفقرة الفرعية ٢ (أ) من المادة ١١، وكذلك قائمة إرشادية بنفايات الزئبق التي قد تندرج ضمن الفقرتين الفرعيتين ٢ (ب) و(ج) من المادة ١١؛</w:t>
      </w:r>
    </w:p>
    <w:p w14:paraId="220E3608" w14:textId="77777777" w:rsidR="00C45002" w:rsidRPr="00D361C4" w:rsidRDefault="00C45002" w:rsidP="00C45002">
      <w:pPr>
        <w:tabs>
          <w:tab w:val="left" w:pos="1841"/>
          <w:tab w:val="left" w:pos="2408"/>
          <w:tab w:val="left" w:pos="2975"/>
        </w:tabs>
        <w:bidi/>
        <w:spacing w:after="120" w:line="400" w:lineRule="exact"/>
        <w:ind w:left="1134" w:firstLine="624"/>
        <w:jc w:val="both"/>
        <w:textDirection w:val="tbRlV"/>
        <w:rPr>
          <w:rFonts w:ascii="Traditional Arabic" w:hAnsi="Traditional Arabic"/>
          <w:sz w:val="30"/>
          <w:rtl/>
          <w:lang w:val="en-GB" w:eastAsia="zh-TW"/>
        </w:rPr>
      </w:pPr>
      <w:r w:rsidRPr="00D361C4">
        <w:rPr>
          <w:rFonts w:ascii="Traditional Arabic" w:hAnsi="Traditional Arabic"/>
          <w:sz w:val="30"/>
          <w:rtl/>
          <w:lang w:val="en-GB"/>
        </w:rPr>
        <w:t>(ج)</w:t>
      </w:r>
      <w:r w:rsidRPr="00D361C4">
        <w:rPr>
          <w:rFonts w:ascii="Traditional Arabic" w:hAnsi="Traditional Arabic"/>
          <w:sz w:val="30"/>
          <w:rtl/>
          <w:lang w:val="en-GB"/>
        </w:rPr>
        <w:tab/>
      </w:r>
      <w:r w:rsidRPr="00D361C4">
        <w:rPr>
          <w:rFonts w:ascii="Traditional Arabic" w:hAnsi="Traditional Arabic"/>
          <w:sz w:val="30"/>
          <w:rtl/>
          <w:lang w:val="en-GB" w:eastAsia="zh-TW"/>
        </w:rPr>
        <w:t>القيام، على سبيل الأولوية، بوضع نهج ومنهجيات ذات صلة لتحديد عتبات لنفايات الزئبق التي تندرج ضمن الفقرة الفرعية ٢ (ج) من المادة ١١، وإن أمكن، التوصية بعتبات محددة لهذه النفايات؛ وسيواصل الفريق أيضا</w:t>
      </w:r>
      <w:r>
        <w:rPr>
          <w:rFonts w:ascii="Traditional Arabic" w:hAnsi="Traditional Arabic" w:hint="cs"/>
          <w:sz w:val="30"/>
          <w:rtl/>
          <w:lang w:val="en-GB" w:eastAsia="zh-TW"/>
        </w:rPr>
        <w:t>ً</w:t>
      </w:r>
      <w:r w:rsidRPr="00D361C4">
        <w:rPr>
          <w:rFonts w:ascii="Traditional Arabic" w:hAnsi="Traditional Arabic"/>
          <w:sz w:val="30"/>
          <w:rtl/>
          <w:lang w:val="en-GB" w:eastAsia="zh-TW"/>
        </w:rPr>
        <w:t xml:space="preserve"> النظر في مدى ملاءمة عتبات فئات النفايات التي تندرج ضمن الفقرتين الفرعيتين ٢ (أ) و٢ (ب) من المادة ١١؛</w:t>
      </w:r>
    </w:p>
    <w:p w14:paraId="163B8EBA" w14:textId="77777777" w:rsidR="00C45002" w:rsidRPr="00D361C4" w:rsidRDefault="00C45002" w:rsidP="00C45002">
      <w:pPr>
        <w:tabs>
          <w:tab w:val="left" w:pos="1841"/>
          <w:tab w:val="left" w:pos="2408"/>
          <w:tab w:val="left" w:pos="2975"/>
        </w:tabs>
        <w:bidi/>
        <w:spacing w:after="120" w:line="400" w:lineRule="exact"/>
        <w:ind w:left="1134" w:firstLine="624"/>
        <w:jc w:val="both"/>
        <w:textDirection w:val="tbRlV"/>
        <w:rPr>
          <w:rFonts w:ascii="Traditional Arabic" w:hAnsi="Traditional Arabic"/>
          <w:sz w:val="30"/>
          <w:rtl/>
          <w:lang w:val="en-GB" w:eastAsia="zh-TW"/>
        </w:rPr>
      </w:pPr>
      <w:r>
        <w:rPr>
          <w:rFonts w:ascii="Traditional Arabic" w:hAnsi="Traditional Arabic"/>
          <w:sz w:val="30"/>
          <w:rtl/>
          <w:lang w:val="en-GB"/>
        </w:rPr>
        <w:t>(د)</w:t>
      </w:r>
      <w:r>
        <w:rPr>
          <w:rFonts w:ascii="Traditional Arabic" w:hAnsi="Traditional Arabic"/>
          <w:sz w:val="30"/>
          <w:rtl/>
          <w:lang w:val="en-GB" w:eastAsia="zh-TW"/>
        </w:rPr>
        <w:tab/>
      </w:r>
      <w:r w:rsidRPr="00D361C4">
        <w:rPr>
          <w:rFonts w:ascii="Traditional Arabic" w:hAnsi="Traditional Arabic"/>
          <w:sz w:val="30"/>
          <w:rtl/>
          <w:lang w:val="en-GB" w:eastAsia="zh-TW"/>
        </w:rPr>
        <w:t xml:space="preserve">العمل على </w:t>
      </w:r>
      <w:r>
        <w:rPr>
          <w:rFonts w:ascii="Traditional Arabic" w:hAnsi="Traditional Arabic" w:hint="cs"/>
          <w:sz w:val="30"/>
          <w:rtl/>
          <w:lang w:val="en-GB" w:eastAsia="zh-TW"/>
        </w:rPr>
        <w:t>وضع</w:t>
      </w:r>
      <w:r w:rsidRPr="00D361C4">
        <w:rPr>
          <w:rFonts w:ascii="Traditional Arabic" w:hAnsi="Traditional Arabic"/>
          <w:sz w:val="30"/>
          <w:rtl/>
          <w:lang w:val="en-GB" w:eastAsia="zh-TW"/>
        </w:rPr>
        <w:t xml:space="preserve"> نُهج لتحديد عتبات للغطاء الصخري ونفايات الصخور ومخلفات التعدين، باستثناء المخلفات من التعدين الأولي للزئبق، خلال فترة ما بين الاجتماعين، بوصف ذلك مسألة منفصلة ومغايرة.</w:t>
      </w:r>
    </w:p>
    <w:p w14:paraId="05DF236E" w14:textId="77777777" w:rsidR="00C45002" w:rsidRPr="006547AD" w:rsidRDefault="00C45002" w:rsidP="00C45002">
      <w:pPr>
        <w:keepNext/>
        <w:keepLines/>
        <w:tabs>
          <w:tab w:val="left" w:pos="1841"/>
          <w:tab w:val="left" w:pos="2408"/>
          <w:tab w:val="left" w:pos="2975"/>
          <w:tab w:val="left" w:pos="3515"/>
          <w:tab w:val="left" w:pos="4082"/>
        </w:tabs>
        <w:suppressAutoHyphens/>
        <w:bidi/>
        <w:spacing w:before="240" w:after="120" w:line="400" w:lineRule="exact"/>
        <w:ind w:left="1134" w:right="284" w:hanging="708"/>
        <w:jc w:val="both"/>
        <w:textDirection w:val="tbRlV"/>
        <w:rPr>
          <w:rFonts w:ascii="Traditional Arabic" w:eastAsia="Calibri" w:hAnsi="Traditional Arabic"/>
          <w:bCs/>
          <w:sz w:val="32"/>
          <w:szCs w:val="32"/>
          <w:rtl/>
          <w:lang w:val="en-GB" w:eastAsia="zh-TW"/>
        </w:rPr>
      </w:pPr>
      <w:r w:rsidRPr="006547AD">
        <w:rPr>
          <w:rFonts w:ascii="Traditional Arabic" w:eastAsia="Calibri" w:hAnsi="Traditional Arabic"/>
          <w:bCs/>
          <w:sz w:val="32"/>
          <w:szCs w:val="32"/>
          <w:rtl/>
          <w:lang w:val="en-GB" w:eastAsia="zh-TW"/>
        </w:rPr>
        <w:t>ثانيا</w:t>
      </w:r>
      <w:r>
        <w:rPr>
          <w:rFonts w:ascii="Traditional Arabic" w:eastAsia="Calibri" w:hAnsi="Traditional Arabic" w:hint="cs"/>
          <w:bCs/>
          <w:sz w:val="32"/>
          <w:szCs w:val="32"/>
          <w:rtl/>
          <w:lang w:val="en-GB" w:eastAsia="zh-TW"/>
        </w:rPr>
        <w:t>ً</w:t>
      </w:r>
      <w:r w:rsidRPr="006547AD">
        <w:rPr>
          <w:rFonts w:ascii="Traditional Arabic" w:eastAsia="Calibri" w:hAnsi="Traditional Arabic"/>
          <w:bCs/>
          <w:sz w:val="32"/>
          <w:szCs w:val="32"/>
          <w:rtl/>
          <w:lang w:val="en-GB" w:eastAsia="zh-TW"/>
        </w:rPr>
        <w:t>-</w:t>
      </w:r>
      <w:r w:rsidRPr="006547AD">
        <w:rPr>
          <w:rFonts w:ascii="Traditional Arabic" w:eastAsia="Calibri" w:hAnsi="Traditional Arabic" w:hint="cs"/>
          <w:bCs/>
          <w:sz w:val="32"/>
          <w:szCs w:val="32"/>
          <w:rtl/>
          <w:lang w:val="en-GB" w:eastAsia="zh-TW"/>
        </w:rPr>
        <w:tab/>
      </w:r>
      <w:r w:rsidRPr="006547AD">
        <w:rPr>
          <w:rFonts w:ascii="Traditional Arabic" w:eastAsia="Calibri" w:hAnsi="Traditional Arabic"/>
          <w:bCs/>
          <w:sz w:val="32"/>
          <w:szCs w:val="32"/>
          <w:rtl/>
          <w:lang w:val="en-GB" w:eastAsia="zh-TW"/>
        </w:rPr>
        <w:t>العضوية</w:t>
      </w:r>
    </w:p>
    <w:p w14:paraId="5C5EECBB" w14:textId="77777777" w:rsidR="00C45002" w:rsidRPr="00D361C4" w:rsidRDefault="00C45002" w:rsidP="00C45002">
      <w:pPr>
        <w:numPr>
          <w:ilvl w:val="0"/>
          <w:numId w:val="7"/>
        </w:numPr>
        <w:tabs>
          <w:tab w:val="left" w:pos="1841"/>
          <w:tab w:val="left" w:pos="2408"/>
          <w:tab w:val="left" w:pos="2975"/>
          <w:tab w:val="left" w:pos="3515"/>
        </w:tabs>
        <w:bidi/>
        <w:spacing w:after="120" w:line="400" w:lineRule="exact"/>
        <w:ind w:left="1134" w:firstLine="0"/>
        <w:jc w:val="both"/>
        <w:textDirection w:val="tbRlV"/>
        <w:rPr>
          <w:rFonts w:ascii="Traditional Arabic" w:hAnsi="Traditional Arabic"/>
          <w:sz w:val="30"/>
          <w:rtl/>
          <w:lang w:val="en-GB" w:eastAsia="zh-TW"/>
        </w:rPr>
      </w:pPr>
      <w:r w:rsidRPr="00D361C4">
        <w:rPr>
          <w:rFonts w:ascii="Traditional Arabic" w:hAnsi="Traditional Arabic"/>
          <w:sz w:val="30"/>
          <w:rtl/>
          <w:lang w:val="en-GB" w:eastAsia="zh-TW"/>
        </w:rPr>
        <w:t>يتكون الفريق الذي سينتخب رئيسيه المشاركين في أول اجتماع له، من خبراء تقنيين ترشحهم مناطق الأمم المتحدة الخمس على النحو التالي: خمسة خبراء من الدول الأفريقية، وخمسة خبراء من دول منطقة آسيا والمحيط الهادئ، وخمسة خبراء من دول أوروبا الشرقية، وخمسة خبراء من دول أمريكا اللاتينية ومنطقة البحر الكاريبي، وخمسة خبراء من دول أوروبا الغربية ودول أخرى. وقبل الاجتماع الأول للفريق يوجه الفريق وأمانة الاتفاقية الدعوة إلى ثمانية خبراء من قطاع الصناعة والمجتمع المدني للمشاركة بصفة مراقبين. ويدعو الفريق أيضا</w:t>
      </w:r>
      <w:r>
        <w:rPr>
          <w:rFonts w:ascii="Traditional Arabic" w:hAnsi="Traditional Arabic" w:hint="cs"/>
          <w:sz w:val="30"/>
          <w:rtl/>
          <w:lang w:val="en-GB" w:eastAsia="zh-TW"/>
        </w:rPr>
        <w:t>ً</w:t>
      </w:r>
      <w:r w:rsidRPr="00D361C4">
        <w:rPr>
          <w:rFonts w:ascii="Traditional Arabic" w:hAnsi="Traditional Arabic"/>
          <w:sz w:val="30"/>
          <w:rtl/>
          <w:lang w:val="en-GB" w:eastAsia="zh-TW"/>
        </w:rPr>
        <w:t xml:space="preserve"> إلى تقديم إسهامات من الخبراء العاملين مع اتفاقية بازل بشأن التحكم في نقل النفايات الخطرة والتخلص منها عبر الحدود، والحكومات، والمنظمات الحكومية الدولية، والصناعة، ومنظمات المجتمع المدني لمساعدته في عمله حسب الاقتضاء.</w:t>
      </w:r>
    </w:p>
    <w:p w14:paraId="40AC9D7F" w14:textId="77777777" w:rsidR="00C45002" w:rsidRPr="006547AD" w:rsidRDefault="00C45002" w:rsidP="00C45002">
      <w:pPr>
        <w:keepNext/>
        <w:keepLines/>
        <w:tabs>
          <w:tab w:val="left" w:pos="1841"/>
          <w:tab w:val="left" w:pos="2408"/>
          <w:tab w:val="left" w:pos="2975"/>
          <w:tab w:val="left" w:pos="3515"/>
          <w:tab w:val="left" w:pos="4082"/>
        </w:tabs>
        <w:suppressAutoHyphens/>
        <w:bidi/>
        <w:spacing w:before="240" w:after="120" w:line="400" w:lineRule="exact"/>
        <w:ind w:left="1134" w:right="284" w:hanging="708"/>
        <w:jc w:val="both"/>
        <w:textDirection w:val="tbRlV"/>
        <w:rPr>
          <w:rFonts w:ascii="Traditional Arabic" w:eastAsia="Calibri" w:hAnsi="Traditional Arabic"/>
          <w:bCs/>
          <w:sz w:val="32"/>
          <w:szCs w:val="32"/>
          <w:rtl/>
          <w:lang w:val="en-GB" w:eastAsia="zh-TW"/>
        </w:rPr>
      </w:pPr>
      <w:r w:rsidRPr="006547AD">
        <w:rPr>
          <w:rFonts w:ascii="Traditional Arabic" w:eastAsia="Calibri" w:hAnsi="Traditional Arabic"/>
          <w:bCs/>
          <w:sz w:val="32"/>
          <w:szCs w:val="32"/>
          <w:rtl/>
          <w:lang w:val="en-GB" w:eastAsia="zh-TW"/>
        </w:rPr>
        <w:t>ثالثا</w:t>
      </w:r>
      <w:r>
        <w:rPr>
          <w:rFonts w:ascii="Traditional Arabic" w:eastAsia="Calibri" w:hAnsi="Traditional Arabic" w:hint="cs"/>
          <w:bCs/>
          <w:sz w:val="32"/>
          <w:szCs w:val="32"/>
          <w:rtl/>
          <w:lang w:val="en-GB" w:eastAsia="zh-TW"/>
        </w:rPr>
        <w:t>ً</w:t>
      </w:r>
      <w:r>
        <w:rPr>
          <w:rFonts w:ascii="Traditional Arabic" w:eastAsia="Calibri" w:hAnsi="Traditional Arabic"/>
          <w:bCs/>
          <w:sz w:val="32"/>
          <w:szCs w:val="32"/>
          <w:rtl/>
          <w:lang w:val="en-GB" w:eastAsia="zh-TW"/>
        </w:rPr>
        <w:t>-</w:t>
      </w:r>
      <w:r>
        <w:rPr>
          <w:rFonts w:ascii="Traditional Arabic" w:eastAsia="Calibri" w:hAnsi="Traditional Arabic" w:hint="cs"/>
          <w:bCs/>
          <w:sz w:val="32"/>
          <w:szCs w:val="32"/>
          <w:rtl/>
          <w:lang w:val="en-GB" w:eastAsia="zh-TW"/>
        </w:rPr>
        <w:tab/>
      </w:r>
      <w:r w:rsidRPr="006547AD">
        <w:rPr>
          <w:rFonts w:ascii="Traditional Arabic" w:eastAsia="Calibri" w:hAnsi="Traditional Arabic"/>
          <w:bCs/>
          <w:sz w:val="32"/>
          <w:szCs w:val="32"/>
          <w:rtl/>
          <w:lang w:val="en-GB" w:eastAsia="zh-TW"/>
        </w:rPr>
        <w:t xml:space="preserve">مؤهلات الأعضاء والمراقبين </w:t>
      </w:r>
      <w:proofErr w:type="spellStart"/>
      <w:r w:rsidRPr="006547AD">
        <w:rPr>
          <w:rFonts w:ascii="Traditional Arabic" w:eastAsia="Calibri" w:hAnsi="Traditional Arabic"/>
          <w:bCs/>
          <w:sz w:val="32"/>
          <w:szCs w:val="32"/>
          <w:rtl/>
          <w:lang w:val="en-GB" w:eastAsia="zh-TW"/>
        </w:rPr>
        <w:t>الموصى</w:t>
      </w:r>
      <w:proofErr w:type="spellEnd"/>
      <w:r w:rsidRPr="006547AD">
        <w:rPr>
          <w:rFonts w:ascii="Traditional Arabic" w:eastAsia="Calibri" w:hAnsi="Traditional Arabic"/>
          <w:bCs/>
          <w:sz w:val="32"/>
          <w:szCs w:val="32"/>
          <w:rtl/>
          <w:lang w:val="en-GB" w:eastAsia="zh-TW"/>
        </w:rPr>
        <w:t xml:space="preserve"> بها</w:t>
      </w:r>
    </w:p>
    <w:p w14:paraId="3922E9A1" w14:textId="77777777" w:rsidR="00C45002" w:rsidRPr="00D361C4" w:rsidRDefault="00C45002" w:rsidP="00C45002">
      <w:pPr>
        <w:numPr>
          <w:ilvl w:val="0"/>
          <w:numId w:val="7"/>
        </w:numPr>
        <w:tabs>
          <w:tab w:val="left" w:pos="1841"/>
          <w:tab w:val="left" w:pos="2408"/>
          <w:tab w:val="left" w:pos="2975"/>
          <w:tab w:val="left" w:pos="3515"/>
        </w:tabs>
        <w:bidi/>
        <w:spacing w:after="120" w:line="400" w:lineRule="exact"/>
        <w:ind w:left="1134" w:firstLine="0"/>
        <w:jc w:val="both"/>
        <w:textDirection w:val="tbRlV"/>
        <w:rPr>
          <w:rFonts w:ascii="Traditional Arabic" w:hAnsi="Traditional Arabic"/>
          <w:sz w:val="30"/>
          <w:rtl/>
          <w:lang w:val="en-GB" w:eastAsia="zh-TW"/>
        </w:rPr>
      </w:pPr>
      <w:r w:rsidRPr="00D361C4">
        <w:rPr>
          <w:rFonts w:ascii="Traditional Arabic" w:hAnsi="Traditional Arabic"/>
          <w:sz w:val="30"/>
          <w:rtl/>
          <w:lang w:val="en-GB" w:eastAsia="zh-TW"/>
        </w:rPr>
        <w:t>يتعين أن يتميز الأعضاء والمراقبون في فريق الخبراء التقنيين، على الأقل بأحد المؤهلات التالية:</w:t>
      </w:r>
    </w:p>
    <w:p w14:paraId="0B698CD3" w14:textId="77777777" w:rsidR="00C45002" w:rsidRPr="00D361C4" w:rsidRDefault="00C45002" w:rsidP="00C45002">
      <w:pPr>
        <w:tabs>
          <w:tab w:val="left" w:pos="2408"/>
          <w:tab w:val="left" w:pos="2975"/>
        </w:tabs>
        <w:bidi/>
        <w:spacing w:after="120" w:line="400" w:lineRule="exact"/>
        <w:ind w:left="1134" w:firstLine="709"/>
        <w:jc w:val="both"/>
        <w:textDirection w:val="tbRlV"/>
        <w:rPr>
          <w:rFonts w:ascii="Traditional Arabic" w:hAnsi="Traditional Arabic"/>
          <w:sz w:val="30"/>
          <w:rtl/>
          <w:lang w:val="en-GB" w:eastAsia="zh-TW"/>
        </w:rPr>
      </w:pPr>
      <w:r w:rsidRPr="00D361C4">
        <w:rPr>
          <w:rFonts w:ascii="Traditional Arabic" w:hAnsi="Traditional Arabic"/>
          <w:sz w:val="30"/>
          <w:rtl/>
          <w:lang w:val="en-GB"/>
        </w:rPr>
        <w:t>(</w:t>
      </w:r>
      <w:r>
        <w:rPr>
          <w:rFonts w:ascii="Traditional Arabic" w:hAnsi="Traditional Arabic" w:hint="cs"/>
          <w:sz w:val="30"/>
          <w:rtl/>
          <w:lang w:val="en-GB"/>
        </w:rPr>
        <w:t>أ</w:t>
      </w:r>
      <w:r w:rsidRPr="00D361C4">
        <w:rPr>
          <w:rFonts w:ascii="Traditional Arabic" w:hAnsi="Traditional Arabic"/>
          <w:sz w:val="30"/>
          <w:rtl/>
          <w:lang w:val="en-GB"/>
        </w:rPr>
        <w:t>)</w:t>
      </w:r>
      <w:r w:rsidRPr="00D361C4">
        <w:rPr>
          <w:rFonts w:ascii="Traditional Arabic" w:hAnsi="Traditional Arabic"/>
          <w:sz w:val="30"/>
          <w:rtl/>
          <w:lang w:val="en-GB"/>
        </w:rPr>
        <w:tab/>
      </w:r>
      <w:r w:rsidRPr="00D361C4">
        <w:rPr>
          <w:rFonts w:ascii="Traditional Arabic" w:hAnsi="Traditional Arabic"/>
          <w:sz w:val="30"/>
          <w:rtl/>
          <w:lang w:val="en-GB" w:eastAsia="zh-TW"/>
        </w:rPr>
        <w:t>خبرة كبيرة في مسائل إدارة النفايات والتخلص منها، بما في ذلك إدارة مختلف أنواع النفايات (الصناعية والمنزلية والنفايات الخطرة)؛</w:t>
      </w:r>
    </w:p>
    <w:p w14:paraId="6B4C2B21" w14:textId="77777777" w:rsidR="00C45002" w:rsidRPr="00D361C4" w:rsidRDefault="00C45002" w:rsidP="00C45002">
      <w:pPr>
        <w:tabs>
          <w:tab w:val="left" w:pos="2408"/>
          <w:tab w:val="left" w:pos="2975"/>
        </w:tabs>
        <w:bidi/>
        <w:spacing w:after="120" w:line="400" w:lineRule="exact"/>
        <w:ind w:left="1134" w:firstLine="709"/>
        <w:jc w:val="both"/>
        <w:textDirection w:val="tbRlV"/>
        <w:rPr>
          <w:rFonts w:ascii="Traditional Arabic" w:hAnsi="Traditional Arabic"/>
          <w:sz w:val="30"/>
          <w:rtl/>
          <w:lang w:val="en-GB" w:eastAsia="zh-TW"/>
        </w:rPr>
      </w:pPr>
      <w:r w:rsidRPr="00D361C4">
        <w:rPr>
          <w:rFonts w:ascii="Traditional Arabic" w:hAnsi="Traditional Arabic"/>
          <w:sz w:val="30"/>
          <w:rtl/>
          <w:lang w:val="en-GB"/>
        </w:rPr>
        <w:t>(</w:t>
      </w:r>
      <w:r>
        <w:rPr>
          <w:rFonts w:ascii="Traditional Arabic" w:hAnsi="Traditional Arabic" w:hint="cs"/>
          <w:sz w:val="30"/>
          <w:rtl/>
          <w:lang w:val="en-GB"/>
        </w:rPr>
        <w:t>ب</w:t>
      </w:r>
      <w:r w:rsidRPr="00D361C4">
        <w:rPr>
          <w:rFonts w:ascii="Traditional Arabic" w:hAnsi="Traditional Arabic"/>
          <w:sz w:val="30"/>
          <w:rtl/>
          <w:lang w:val="en-GB"/>
        </w:rPr>
        <w:t>)</w:t>
      </w:r>
      <w:r w:rsidRPr="00D361C4">
        <w:rPr>
          <w:rFonts w:ascii="Traditional Arabic" w:hAnsi="Traditional Arabic"/>
          <w:sz w:val="30"/>
          <w:rtl/>
          <w:lang w:val="en-GB"/>
        </w:rPr>
        <w:tab/>
      </w:r>
      <w:r w:rsidRPr="00D361C4">
        <w:rPr>
          <w:rFonts w:ascii="Traditional Arabic" w:hAnsi="Traditional Arabic"/>
          <w:sz w:val="30"/>
          <w:rtl/>
          <w:lang w:val="en-GB" w:eastAsia="zh-TW"/>
        </w:rPr>
        <w:t>خبرة ذات صلة بمختلف نهج تحديد العتبات، بما في ذلك النهج القائمة على المخاطر، وكذلك نهج أخرى محتملة؛</w:t>
      </w:r>
    </w:p>
    <w:p w14:paraId="641F7ED5" w14:textId="77777777" w:rsidR="00C45002" w:rsidRPr="00D361C4" w:rsidRDefault="00C45002" w:rsidP="00C45002">
      <w:pPr>
        <w:tabs>
          <w:tab w:val="left" w:pos="2408"/>
          <w:tab w:val="left" w:pos="2975"/>
        </w:tabs>
        <w:bidi/>
        <w:spacing w:after="120" w:line="400" w:lineRule="exact"/>
        <w:ind w:left="1134" w:firstLine="709"/>
        <w:jc w:val="both"/>
        <w:textDirection w:val="tbRlV"/>
        <w:rPr>
          <w:rFonts w:ascii="Traditional Arabic" w:hAnsi="Traditional Arabic"/>
          <w:sz w:val="30"/>
          <w:rtl/>
          <w:lang w:val="en-GB" w:eastAsia="zh-TW"/>
        </w:rPr>
      </w:pPr>
      <w:r w:rsidRPr="00D361C4">
        <w:rPr>
          <w:rFonts w:ascii="Traditional Arabic" w:hAnsi="Traditional Arabic"/>
          <w:sz w:val="30"/>
          <w:rtl/>
          <w:lang w:val="en-GB"/>
        </w:rPr>
        <w:t>(</w:t>
      </w:r>
      <w:r>
        <w:rPr>
          <w:rFonts w:ascii="Traditional Arabic" w:hAnsi="Traditional Arabic" w:hint="cs"/>
          <w:sz w:val="30"/>
          <w:rtl/>
          <w:lang w:val="en-GB"/>
        </w:rPr>
        <w:t>ج</w:t>
      </w:r>
      <w:r w:rsidRPr="00D361C4">
        <w:rPr>
          <w:rFonts w:ascii="Traditional Arabic" w:hAnsi="Traditional Arabic"/>
          <w:sz w:val="30"/>
          <w:rtl/>
          <w:lang w:val="en-GB"/>
        </w:rPr>
        <w:t>)</w:t>
      </w:r>
      <w:r w:rsidRPr="00D361C4">
        <w:rPr>
          <w:rFonts w:ascii="Traditional Arabic" w:hAnsi="Traditional Arabic"/>
          <w:sz w:val="30"/>
          <w:rtl/>
          <w:lang w:val="en-GB"/>
        </w:rPr>
        <w:tab/>
      </w:r>
      <w:r w:rsidRPr="00D361C4">
        <w:rPr>
          <w:rFonts w:ascii="Traditional Arabic" w:hAnsi="Traditional Arabic"/>
          <w:sz w:val="30"/>
          <w:rtl/>
          <w:lang w:val="en-GB" w:eastAsia="zh-TW"/>
        </w:rPr>
        <w:t>خبرة في الآثار البيئية والصحية للتعرض للزئبق؛</w:t>
      </w:r>
    </w:p>
    <w:p w14:paraId="2751964F" w14:textId="77777777" w:rsidR="00C45002" w:rsidRPr="00D361C4" w:rsidRDefault="00C45002" w:rsidP="00C45002">
      <w:pPr>
        <w:tabs>
          <w:tab w:val="left" w:pos="2408"/>
          <w:tab w:val="left" w:pos="2975"/>
        </w:tabs>
        <w:bidi/>
        <w:spacing w:after="120" w:line="400" w:lineRule="exact"/>
        <w:ind w:left="1134" w:firstLine="709"/>
        <w:jc w:val="both"/>
        <w:textDirection w:val="tbRlV"/>
        <w:rPr>
          <w:rFonts w:ascii="Traditional Arabic" w:hAnsi="Traditional Arabic"/>
          <w:sz w:val="30"/>
          <w:rtl/>
          <w:lang w:val="en-GB" w:eastAsia="zh-TW"/>
        </w:rPr>
      </w:pPr>
      <w:r w:rsidRPr="00D361C4">
        <w:rPr>
          <w:rFonts w:ascii="Traditional Arabic" w:hAnsi="Traditional Arabic"/>
          <w:sz w:val="30"/>
          <w:rtl/>
          <w:lang w:val="en-GB"/>
        </w:rPr>
        <w:lastRenderedPageBreak/>
        <w:t>(</w:t>
      </w:r>
      <w:r>
        <w:rPr>
          <w:rFonts w:ascii="Traditional Arabic" w:hAnsi="Traditional Arabic" w:hint="cs"/>
          <w:sz w:val="30"/>
          <w:rtl/>
          <w:lang w:val="en-GB"/>
        </w:rPr>
        <w:t>د</w:t>
      </w:r>
      <w:r>
        <w:rPr>
          <w:rFonts w:ascii="Traditional Arabic" w:hAnsi="Traditional Arabic"/>
          <w:sz w:val="30"/>
          <w:rtl/>
          <w:lang w:val="en-GB"/>
        </w:rPr>
        <w:t>)</w:t>
      </w:r>
      <w:r>
        <w:rPr>
          <w:rFonts w:ascii="Traditional Arabic" w:hAnsi="Traditional Arabic"/>
          <w:sz w:val="30"/>
          <w:rtl/>
          <w:lang w:val="en-GB" w:eastAsia="zh-TW"/>
        </w:rPr>
        <w:tab/>
      </w:r>
      <w:r w:rsidRPr="00D361C4">
        <w:rPr>
          <w:rFonts w:ascii="Traditional Arabic" w:hAnsi="Traditional Arabic"/>
          <w:sz w:val="30"/>
          <w:rtl/>
          <w:lang w:val="en-GB" w:eastAsia="zh-TW"/>
        </w:rPr>
        <w:t xml:space="preserve">خبرة تقنية ومعرفة </w:t>
      </w:r>
      <w:r>
        <w:rPr>
          <w:rFonts w:ascii="Traditional Arabic" w:hAnsi="Traditional Arabic" w:hint="cs"/>
          <w:sz w:val="30"/>
          <w:rtl/>
          <w:lang w:val="en-GB" w:eastAsia="zh-TW"/>
        </w:rPr>
        <w:t>وتجربة</w:t>
      </w:r>
      <w:r w:rsidRPr="00D361C4">
        <w:rPr>
          <w:rFonts w:ascii="Traditional Arabic" w:hAnsi="Traditional Arabic"/>
          <w:sz w:val="30"/>
          <w:rtl/>
          <w:lang w:val="en-GB" w:eastAsia="zh-TW"/>
        </w:rPr>
        <w:t xml:space="preserve"> في مجال التعدين، ولا</w:t>
      </w:r>
      <w:r>
        <w:rPr>
          <w:rFonts w:ascii="Traditional Arabic" w:hAnsi="Traditional Arabic" w:hint="eastAsia"/>
          <w:sz w:val="30"/>
          <w:rtl/>
          <w:lang w:val="en-GB" w:eastAsia="zh-TW"/>
        </w:rPr>
        <w:t> </w:t>
      </w:r>
      <w:r w:rsidRPr="00D361C4">
        <w:rPr>
          <w:rFonts w:ascii="Traditional Arabic" w:hAnsi="Traditional Arabic"/>
          <w:sz w:val="30"/>
          <w:rtl/>
          <w:lang w:val="en-GB" w:eastAsia="zh-TW"/>
        </w:rPr>
        <w:t>سيما فيما يتعلق بالإدارة السليمة بيئيا</w:t>
      </w:r>
      <w:r>
        <w:rPr>
          <w:rFonts w:ascii="Traditional Arabic" w:hAnsi="Traditional Arabic" w:hint="cs"/>
          <w:sz w:val="30"/>
          <w:rtl/>
          <w:lang w:val="en-GB" w:eastAsia="zh-TW"/>
        </w:rPr>
        <w:t>ً</w:t>
      </w:r>
      <w:r w:rsidRPr="00D361C4">
        <w:rPr>
          <w:rFonts w:ascii="Traditional Arabic" w:hAnsi="Traditional Arabic"/>
          <w:sz w:val="30"/>
          <w:rtl/>
          <w:lang w:val="en-GB" w:eastAsia="zh-TW"/>
        </w:rPr>
        <w:t xml:space="preserve"> للغطاء الصخري ونفايات الصخور ومخلفات النفايات.</w:t>
      </w:r>
    </w:p>
    <w:p w14:paraId="000021E1" w14:textId="77777777" w:rsidR="00C45002" w:rsidRPr="006547AD" w:rsidRDefault="00C45002" w:rsidP="00C45002">
      <w:pPr>
        <w:keepNext/>
        <w:keepLines/>
        <w:tabs>
          <w:tab w:val="left" w:pos="1841"/>
          <w:tab w:val="left" w:pos="2408"/>
          <w:tab w:val="left" w:pos="2975"/>
          <w:tab w:val="left" w:pos="3515"/>
          <w:tab w:val="left" w:pos="4082"/>
        </w:tabs>
        <w:suppressAutoHyphens/>
        <w:bidi/>
        <w:spacing w:before="240" w:after="120" w:line="400" w:lineRule="exact"/>
        <w:ind w:left="1134" w:right="284" w:hanging="708"/>
        <w:jc w:val="both"/>
        <w:textDirection w:val="tbRlV"/>
        <w:rPr>
          <w:rFonts w:ascii="Traditional Arabic" w:eastAsia="Calibri" w:hAnsi="Traditional Arabic"/>
          <w:bCs/>
          <w:sz w:val="32"/>
          <w:szCs w:val="32"/>
          <w:rtl/>
          <w:lang w:val="en-GB" w:eastAsia="zh-TW"/>
        </w:rPr>
      </w:pPr>
      <w:r w:rsidRPr="006547AD">
        <w:rPr>
          <w:rFonts w:ascii="Traditional Arabic" w:eastAsia="Calibri" w:hAnsi="Traditional Arabic"/>
          <w:bCs/>
          <w:sz w:val="32"/>
          <w:szCs w:val="32"/>
          <w:rtl/>
          <w:lang w:val="en-GB" w:eastAsia="zh-TW"/>
        </w:rPr>
        <w:t>رابعا</w:t>
      </w:r>
      <w:r w:rsidRPr="006547AD">
        <w:rPr>
          <w:rFonts w:ascii="Traditional Arabic" w:eastAsia="Calibri" w:hAnsi="Traditional Arabic" w:hint="cs"/>
          <w:bCs/>
          <w:sz w:val="32"/>
          <w:szCs w:val="32"/>
          <w:rtl/>
          <w:lang w:val="en-GB" w:eastAsia="zh-TW"/>
        </w:rPr>
        <w:t>ً</w:t>
      </w:r>
      <w:r w:rsidRPr="006547AD">
        <w:rPr>
          <w:rFonts w:ascii="Traditional Arabic" w:eastAsia="Calibri" w:hAnsi="Traditional Arabic"/>
          <w:bCs/>
          <w:sz w:val="32"/>
          <w:szCs w:val="32"/>
          <w:rtl/>
          <w:lang w:val="en-GB" w:eastAsia="zh-TW"/>
        </w:rPr>
        <w:t>-</w:t>
      </w:r>
      <w:r w:rsidRPr="006547AD">
        <w:rPr>
          <w:rFonts w:ascii="Traditional Arabic" w:eastAsia="Calibri" w:hAnsi="Traditional Arabic" w:hint="cs"/>
          <w:bCs/>
          <w:sz w:val="32"/>
          <w:szCs w:val="32"/>
          <w:rtl/>
          <w:lang w:val="en-GB" w:eastAsia="zh-TW"/>
        </w:rPr>
        <w:tab/>
      </w:r>
      <w:r w:rsidRPr="006547AD">
        <w:rPr>
          <w:rFonts w:ascii="Traditional Arabic" w:eastAsia="Calibri" w:hAnsi="Traditional Arabic"/>
          <w:bCs/>
          <w:sz w:val="32"/>
          <w:szCs w:val="32"/>
          <w:rtl/>
          <w:lang w:val="en-GB" w:eastAsia="zh-TW"/>
        </w:rPr>
        <w:t>أعضاء المكتب</w:t>
      </w:r>
    </w:p>
    <w:p w14:paraId="20206BAA" w14:textId="77777777" w:rsidR="00C45002" w:rsidRPr="00D361C4" w:rsidRDefault="00C45002" w:rsidP="00C45002">
      <w:pPr>
        <w:numPr>
          <w:ilvl w:val="0"/>
          <w:numId w:val="7"/>
        </w:numPr>
        <w:tabs>
          <w:tab w:val="left" w:pos="1841"/>
          <w:tab w:val="left" w:pos="2408"/>
          <w:tab w:val="left" w:pos="2975"/>
          <w:tab w:val="left" w:pos="3515"/>
        </w:tabs>
        <w:bidi/>
        <w:spacing w:after="120" w:line="400" w:lineRule="exact"/>
        <w:ind w:left="1134" w:firstLine="0"/>
        <w:jc w:val="both"/>
        <w:textDirection w:val="tbRlV"/>
        <w:rPr>
          <w:rFonts w:ascii="Traditional Arabic" w:hAnsi="Traditional Arabic"/>
          <w:sz w:val="30"/>
          <w:rtl/>
          <w:lang w:val="en-GB" w:eastAsia="zh-TW"/>
        </w:rPr>
      </w:pPr>
      <w:r w:rsidRPr="00D361C4">
        <w:rPr>
          <w:rFonts w:ascii="Traditional Arabic" w:hAnsi="Traditional Arabic"/>
          <w:sz w:val="30"/>
          <w:rtl/>
          <w:lang w:val="en-GB" w:eastAsia="zh-TW"/>
        </w:rPr>
        <w:t xml:space="preserve">يختار فريق الخبراء </w:t>
      </w:r>
      <w:r>
        <w:rPr>
          <w:rFonts w:ascii="Traditional Arabic" w:hAnsi="Traditional Arabic"/>
          <w:sz w:val="30"/>
          <w:rtl/>
          <w:lang w:val="en-GB" w:eastAsia="zh-TW"/>
        </w:rPr>
        <w:t>رئيسين مشاركين لتيسير الاجتماع.</w:t>
      </w:r>
    </w:p>
    <w:p w14:paraId="16CF11B5" w14:textId="77777777" w:rsidR="00C45002" w:rsidRPr="006547AD" w:rsidRDefault="00C45002" w:rsidP="00C45002">
      <w:pPr>
        <w:keepNext/>
        <w:keepLines/>
        <w:tabs>
          <w:tab w:val="left" w:pos="1841"/>
          <w:tab w:val="left" w:pos="2408"/>
          <w:tab w:val="left" w:pos="2975"/>
          <w:tab w:val="left" w:pos="3515"/>
          <w:tab w:val="left" w:pos="4082"/>
        </w:tabs>
        <w:suppressAutoHyphens/>
        <w:bidi/>
        <w:spacing w:before="240" w:after="120" w:line="400" w:lineRule="exact"/>
        <w:ind w:left="1134" w:right="284" w:hanging="850"/>
        <w:jc w:val="both"/>
        <w:textDirection w:val="tbRlV"/>
        <w:rPr>
          <w:rFonts w:ascii="Traditional Arabic" w:eastAsia="Calibri" w:hAnsi="Traditional Arabic"/>
          <w:bCs/>
          <w:sz w:val="32"/>
          <w:szCs w:val="32"/>
          <w:rtl/>
          <w:lang w:val="en-GB" w:eastAsia="zh-TW"/>
        </w:rPr>
      </w:pPr>
      <w:r>
        <w:rPr>
          <w:rFonts w:ascii="Traditional Arabic" w:eastAsia="Calibri" w:hAnsi="Traditional Arabic"/>
          <w:bCs/>
          <w:sz w:val="32"/>
          <w:szCs w:val="32"/>
          <w:rtl/>
          <w:lang w:val="en-GB" w:eastAsia="zh-TW"/>
        </w:rPr>
        <w:t>خامساً-</w:t>
      </w:r>
      <w:r>
        <w:rPr>
          <w:rFonts w:ascii="Traditional Arabic" w:eastAsia="Calibri" w:hAnsi="Traditional Arabic" w:hint="cs"/>
          <w:bCs/>
          <w:sz w:val="32"/>
          <w:szCs w:val="32"/>
          <w:rtl/>
          <w:lang w:val="en-GB" w:eastAsia="zh-TW"/>
        </w:rPr>
        <w:tab/>
      </w:r>
      <w:r w:rsidRPr="006547AD">
        <w:rPr>
          <w:rFonts w:ascii="Traditional Arabic" w:eastAsia="Calibri" w:hAnsi="Traditional Arabic"/>
          <w:bCs/>
          <w:sz w:val="32"/>
          <w:szCs w:val="32"/>
          <w:rtl/>
          <w:lang w:val="en-GB" w:eastAsia="zh-TW"/>
        </w:rPr>
        <w:t>الأمانة</w:t>
      </w:r>
    </w:p>
    <w:p w14:paraId="20E70FD1" w14:textId="77777777" w:rsidR="00C45002" w:rsidRPr="00D361C4" w:rsidRDefault="00C45002" w:rsidP="00C45002">
      <w:pPr>
        <w:numPr>
          <w:ilvl w:val="0"/>
          <w:numId w:val="7"/>
        </w:numPr>
        <w:tabs>
          <w:tab w:val="left" w:pos="1841"/>
          <w:tab w:val="left" w:pos="2408"/>
          <w:tab w:val="left" w:pos="2975"/>
          <w:tab w:val="left" w:pos="3515"/>
        </w:tabs>
        <w:bidi/>
        <w:spacing w:after="120" w:line="400" w:lineRule="exact"/>
        <w:ind w:left="1134" w:firstLine="0"/>
        <w:jc w:val="both"/>
        <w:textDirection w:val="tbRlV"/>
        <w:rPr>
          <w:rFonts w:ascii="Traditional Arabic" w:hAnsi="Traditional Arabic"/>
          <w:sz w:val="30"/>
          <w:rtl/>
          <w:lang w:val="en-GB" w:eastAsia="zh-TW"/>
        </w:rPr>
      </w:pPr>
      <w:r w:rsidRPr="00D361C4">
        <w:rPr>
          <w:rFonts w:ascii="Traditional Arabic" w:hAnsi="Traditional Arabic"/>
          <w:sz w:val="30"/>
          <w:rtl/>
          <w:lang w:val="en-GB" w:eastAsia="zh-TW"/>
        </w:rPr>
        <w:t>تقدم أمانة الاتفاقية الدعم الإداري لفريق الخبراء.</w:t>
      </w:r>
    </w:p>
    <w:p w14:paraId="5B568E34" w14:textId="77777777" w:rsidR="00C45002" w:rsidRPr="00407066" w:rsidRDefault="00C45002" w:rsidP="00C45002">
      <w:pPr>
        <w:keepNext/>
        <w:keepLines/>
        <w:tabs>
          <w:tab w:val="left" w:pos="1841"/>
          <w:tab w:val="left" w:pos="2408"/>
          <w:tab w:val="left" w:pos="2975"/>
          <w:tab w:val="left" w:pos="3515"/>
          <w:tab w:val="left" w:pos="4082"/>
        </w:tabs>
        <w:suppressAutoHyphens/>
        <w:bidi/>
        <w:spacing w:before="240" w:after="120" w:line="400" w:lineRule="exact"/>
        <w:ind w:left="1134" w:right="284" w:hanging="850"/>
        <w:jc w:val="both"/>
        <w:textDirection w:val="tbRlV"/>
        <w:rPr>
          <w:rFonts w:ascii="Traditional Arabic" w:eastAsia="Calibri" w:hAnsi="Traditional Arabic"/>
          <w:bCs/>
          <w:sz w:val="32"/>
          <w:szCs w:val="32"/>
          <w:rtl/>
          <w:lang w:val="en-GB" w:eastAsia="zh-TW" w:bidi="ar-EG"/>
        </w:rPr>
      </w:pPr>
      <w:r w:rsidRPr="00407066">
        <w:rPr>
          <w:rFonts w:ascii="Traditional Arabic" w:eastAsia="Calibri" w:hAnsi="Traditional Arabic"/>
          <w:bCs/>
          <w:sz w:val="32"/>
          <w:szCs w:val="32"/>
          <w:rtl/>
          <w:lang w:val="en-GB" w:eastAsia="zh-TW"/>
        </w:rPr>
        <w:t>سادسا</w:t>
      </w:r>
      <w:r>
        <w:rPr>
          <w:rFonts w:ascii="Traditional Arabic" w:eastAsia="Calibri" w:hAnsi="Traditional Arabic" w:hint="cs"/>
          <w:bCs/>
          <w:sz w:val="32"/>
          <w:szCs w:val="32"/>
          <w:rtl/>
          <w:lang w:val="en-GB" w:eastAsia="zh-TW"/>
        </w:rPr>
        <w:t>ً</w:t>
      </w:r>
      <w:r>
        <w:rPr>
          <w:rFonts w:ascii="Traditional Arabic" w:eastAsia="Calibri" w:hAnsi="Traditional Arabic"/>
          <w:bCs/>
          <w:sz w:val="32"/>
          <w:szCs w:val="32"/>
          <w:rtl/>
          <w:lang w:val="en-GB" w:eastAsia="zh-TW"/>
        </w:rPr>
        <w:t>-</w:t>
      </w:r>
      <w:r>
        <w:rPr>
          <w:rFonts w:ascii="Traditional Arabic" w:eastAsia="Calibri" w:hAnsi="Traditional Arabic" w:hint="cs"/>
          <w:bCs/>
          <w:sz w:val="32"/>
          <w:szCs w:val="32"/>
          <w:rtl/>
          <w:lang w:val="en-GB" w:eastAsia="zh-TW"/>
        </w:rPr>
        <w:tab/>
      </w:r>
      <w:r w:rsidRPr="00407066">
        <w:rPr>
          <w:rFonts w:ascii="Traditional Arabic" w:eastAsia="Calibri" w:hAnsi="Traditional Arabic"/>
          <w:bCs/>
          <w:sz w:val="32"/>
          <w:szCs w:val="32"/>
          <w:rtl/>
          <w:lang w:val="en-GB" w:eastAsia="zh-TW"/>
        </w:rPr>
        <w:t>المسائل الإدارية والإجرائية</w:t>
      </w:r>
    </w:p>
    <w:p w14:paraId="229A5375" w14:textId="77777777" w:rsidR="00C45002" w:rsidRPr="00D361C4" w:rsidRDefault="00C45002" w:rsidP="00C45002">
      <w:pPr>
        <w:numPr>
          <w:ilvl w:val="0"/>
          <w:numId w:val="7"/>
        </w:numPr>
        <w:tabs>
          <w:tab w:val="left" w:pos="1841"/>
          <w:tab w:val="left" w:pos="2408"/>
          <w:tab w:val="left" w:pos="2975"/>
          <w:tab w:val="left" w:pos="3515"/>
        </w:tabs>
        <w:bidi/>
        <w:spacing w:after="120" w:line="400" w:lineRule="exact"/>
        <w:ind w:left="1134" w:firstLine="0"/>
        <w:jc w:val="both"/>
        <w:textDirection w:val="tbRlV"/>
        <w:rPr>
          <w:rFonts w:ascii="Traditional Arabic" w:hAnsi="Traditional Arabic"/>
          <w:sz w:val="30"/>
          <w:rtl/>
          <w:lang w:val="en-GB" w:eastAsia="zh-TW"/>
        </w:rPr>
      </w:pPr>
      <w:r w:rsidRPr="00D361C4">
        <w:rPr>
          <w:rFonts w:ascii="Traditional Arabic" w:hAnsi="Traditional Arabic"/>
          <w:sz w:val="30"/>
          <w:rtl/>
          <w:lang w:val="en-GB" w:eastAsia="zh-TW"/>
        </w:rPr>
        <w:t>ينطبق النظام الداخلي لمؤتمر الأطراف، مع تعديل ما يلزم تعديله، على فريق الخبراء.</w:t>
      </w:r>
    </w:p>
    <w:p w14:paraId="15807EEE" w14:textId="77777777" w:rsidR="00C45002" w:rsidRPr="00407066" w:rsidRDefault="00C45002" w:rsidP="00C45002">
      <w:pPr>
        <w:keepNext/>
        <w:keepLines/>
        <w:tabs>
          <w:tab w:val="left" w:pos="1841"/>
          <w:tab w:val="left" w:pos="2408"/>
          <w:tab w:val="left" w:pos="2975"/>
          <w:tab w:val="left" w:pos="3515"/>
          <w:tab w:val="left" w:pos="4082"/>
        </w:tabs>
        <w:suppressAutoHyphens/>
        <w:bidi/>
        <w:spacing w:before="240" w:after="120" w:line="400" w:lineRule="exact"/>
        <w:ind w:left="1134" w:right="284" w:hanging="850"/>
        <w:jc w:val="both"/>
        <w:textDirection w:val="tbRlV"/>
        <w:rPr>
          <w:rFonts w:ascii="Traditional Arabic" w:eastAsia="Calibri" w:hAnsi="Traditional Arabic"/>
          <w:bCs/>
          <w:sz w:val="32"/>
          <w:szCs w:val="32"/>
          <w:rtl/>
          <w:lang w:val="en-GB" w:eastAsia="zh-TW"/>
        </w:rPr>
      </w:pPr>
      <w:r w:rsidRPr="00407066">
        <w:rPr>
          <w:rFonts w:ascii="Traditional Arabic" w:eastAsia="Calibri" w:hAnsi="Traditional Arabic"/>
          <w:bCs/>
          <w:sz w:val="32"/>
          <w:szCs w:val="32"/>
          <w:rtl/>
          <w:lang w:val="en-GB" w:eastAsia="zh-TW"/>
        </w:rPr>
        <w:t>سابعا</w:t>
      </w:r>
      <w:r>
        <w:rPr>
          <w:rFonts w:ascii="Traditional Arabic" w:eastAsia="Calibri" w:hAnsi="Traditional Arabic" w:hint="cs"/>
          <w:bCs/>
          <w:sz w:val="32"/>
          <w:szCs w:val="32"/>
          <w:rtl/>
          <w:lang w:val="en-GB" w:eastAsia="zh-TW"/>
        </w:rPr>
        <w:t>ً</w:t>
      </w:r>
      <w:r>
        <w:rPr>
          <w:rFonts w:ascii="Traditional Arabic" w:eastAsia="Calibri" w:hAnsi="Traditional Arabic"/>
          <w:bCs/>
          <w:sz w:val="32"/>
          <w:szCs w:val="32"/>
          <w:rtl/>
          <w:lang w:val="en-GB" w:eastAsia="zh-TW"/>
        </w:rPr>
        <w:t>-</w:t>
      </w:r>
      <w:r>
        <w:rPr>
          <w:rFonts w:ascii="Traditional Arabic" w:eastAsia="Calibri" w:hAnsi="Traditional Arabic" w:hint="cs"/>
          <w:bCs/>
          <w:sz w:val="32"/>
          <w:szCs w:val="32"/>
          <w:rtl/>
          <w:lang w:val="en-GB" w:eastAsia="zh-TW"/>
        </w:rPr>
        <w:tab/>
      </w:r>
      <w:r w:rsidRPr="00407066">
        <w:rPr>
          <w:rFonts w:ascii="Traditional Arabic" w:eastAsia="Calibri" w:hAnsi="Traditional Arabic"/>
          <w:bCs/>
          <w:sz w:val="32"/>
          <w:szCs w:val="32"/>
          <w:rtl/>
          <w:lang w:val="en-GB" w:eastAsia="zh-TW"/>
        </w:rPr>
        <w:t>الاجتماعات</w:t>
      </w:r>
    </w:p>
    <w:p w14:paraId="7D92389D" w14:textId="77777777" w:rsidR="00C45002" w:rsidRPr="00D361C4" w:rsidRDefault="00C45002" w:rsidP="00C45002">
      <w:pPr>
        <w:numPr>
          <w:ilvl w:val="0"/>
          <w:numId w:val="7"/>
        </w:numPr>
        <w:tabs>
          <w:tab w:val="left" w:pos="1841"/>
          <w:tab w:val="left" w:pos="2408"/>
          <w:tab w:val="left" w:pos="2975"/>
          <w:tab w:val="left" w:pos="3515"/>
        </w:tabs>
        <w:bidi/>
        <w:spacing w:after="120" w:line="400" w:lineRule="exact"/>
        <w:ind w:left="1134" w:firstLine="0"/>
        <w:jc w:val="both"/>
        <w:textDirection w:val="tbRlV"/>
        <w:rPr>
          <w:rFonts w:ascii="Traditional Arabic" w:hAnsi="Traditional Arabic"/>
          <w:sz w:val="30"/>
          <w:rtl/>
          <w:lang w:val="en-GB" w:eastAsia="zh-TW"/>
        </w:rPr>
      </w:pPr>
      <w:r w:rsidRPr="00D361C4">
        <w:rPr>
          <w:rFonts w:ascii="Traditional Arabic" w:hAnsi="Traditional Arabic"/>
          <w:sz w:val="30"/>
          <w:rtl/>
          <w:lang w:val="en-GB" w:eastAsia="zh-TW"/>
        </w:rPr>
        <w:t>يعمل فريق الخبراء بالوسائل الإلكترونية ويجتمع وجها</w:t>
      </w:r>
      <w:r>
        <w:rPr>
          <w:rFonts w:ascii="Traditional Arabic" w:hAnsi="Traditional Arabic" w:hint="cs"/>
          <w:sz w:val="30"/>
          <w:rtl/>
          <w:lang w:val="en-GB" w:eastAsia="zh-TW"/>
        </w:rPr>
        <w:t>ً</w:t>
      </w:r>
      <w:r w:rsidRPr="00D361C4">
        <w:rPr>
          <w:rFonts w:ascii="Traditional Arabic" w:hAnsi="Traditional Arabic"/>
          <w:sz w:val="30"/>
          <w:rtl/>
          <w:lang w:val="en-GB" w:eastAsia="zh-TW"/>
        </w:rPr>
        <w:t xml:space="preserve"> لوجه مرة واحدة على الأقل خلال فترة ما بين الاجتماعين التي تسبق الاجتماع الثالث لمؤتمر الأطراف.</w:t>
      </w:r>
    </w:p>
    <w:p w14:paraId="6D92DC2A" w14:textId="77777777" w:rsidR="00C45002" w:rsidRPr="00407066" w:rsidRDefault="00C45002" w:rsidP="00C45002">
      <w:pPr>
        <w:keepNext/>
        <w:keepLines/>
        <w:tabs>
          <w:tab w:val="left" w:pos="1841"/>
          <w:tab w:val="left" w:pos="2408"/>
          <w:tab w:val="left" w:pos="2975"/>
          <w:tab w:val="left" w:pos="3515"/>
          <w:tab w:val="left" w:pos="4082"/>
        </w:tabs>
        <w:suppressAutoHyphens/>
        <w:bidi/>
        <w:spacing w:before="240" w:after="120" w:line="400" w:lineRule="exact"/>
        <w:ind w:left="1134" w:right="284" w:hanging="708"/>
        <w:jc w:val="both"/>
        <w:textDirection w:val="tbRlV"/>
        <w:rPr>
          <w:rFonts w:ascii="Traditional Arabic" w:eastAsia="Calibri" w:hAnsi="Traditional Arabic"/>
          <w:bCs/>
          <w:sz w:val="32"/>
          <w:szCs w:val="32"/>
          <w:rtl/>
          <w:lang w:val="en-GB" w:eastAsia="zh-TW"/>
        </w:rPr>
      </w:pPr>
      <w:r w:rsidRPr="00407066">
        <w:rPr>
          <w:rFonts w:ascii="Traditional Arabic" w:eastAsia="Calibri" w:hAnsi="Traditional Arabic"/>
          <w:bCs/>
          <w:sz w:val="32"/>
          <w:szCs w:val="32"/>
          <w:rtl/>
          <w:lang w:val="en-GB" w:eastAsia="zh-TW"/>
        </w:rPr>
        <w:t>ثامنا</w:t>
      </w:r>
      <w:r>
        <w:rPr>
          <w:rFonts w:ascii="Traditional Arabic" w:eastAsia="Calibri" w:hAnsi="Traditional Arabic" w:hint="cs"/>
          <w:bCs/>
          <w:sz w:val="32"/>
          <w:szCs w:val="32"/>
          <w:rtl/>
          <w:lang w:val="en-GB" w:eastAsia="zh-TW"/>
        </w:rPr>
        <w:t>ً</w:t>
      </w:r>
      <w:r>
        <w:rPr>
          <w:rFonts w:ascii="Traditional Arabic" w:eastAsia="Calibri" w:hAnsi="Traditional Arabic"/>
          <w:bCs/>
          <w:sz w:val="32"/>
          <w:szCs w:val="32"/>
          <w:rtl/>
          <w:lang w:val="en-GB" w:eastAsia="zh-TW"/>
        </w:rPr>
        <w:t>-</w:t>
      </w:r>
      <w:r>
        <w:rPr>
          <w:rFonts w:ascii="Traditional Arabic" w:eastAsia="Calibri" w:hAnsi="Traditional Arabic" w:hint="cs"/>
          <w:bCs/>
          <w:sz w:val="32"/>
          <w:szCs w:val="32"/>
          <w:rtl/>
          <w:lang w:val="en-GB" w:eastAsia="zh-TW"/>
        </w:rPr>
        <w:tab/>
      </w:r>
      <w:r w:rsidRPr="00407066">
        <w:rPr>
          <w:rFonts w:ascii="Traditional Arabic" w:eastAsia="Calibri" w:hAnsi="Traditional Arabic"/>
          <w:bCs/>
          <w:sz w:val="32"/>
          <w:szCs w:val="32"/>
          <w:rtl/>
          <w:lang w:val="en-GB" w:eastAsia="zh-TW"/>
        </w:rPr>
        <w:t>اللغة</w:t>
      </w:r>
    </w:p>
    <w:p w14:paraId="715774C6" w14:textId="36151E49" w:rsidR="00770CC9" w:rsidRPr="00B063F1" w:rsidRDefault="00C45002" w:rsidP="00C45002">
      <w:pPr>
        <w:tabs>
          <w:tab w:val="left" w:pos="2408"/>
        </w:tabs>
        <w:bidi/>
        <w:spacing w:after="120" w:line="400" w:lineRule="exact"/>
        <w:ind w:left="1132" w:firstLine="709"/>
        <w:jc w:val="both"/>
        <w:textDirection w:val="tbRlV"/>
        <w:rPr>
          <w:rFonts w:ascii="Traditional Arabic" w:hAnsi="Traditional Arabic"/>
          <w:sz w:val="30"/>
          <w:lang w:val="en-GB" w:eastAsia="zh-TW"/>
        </w:rPr>
      </w:pPr>
      <w:r w:rsidRPr="008554EB">
        <w:rPr>
          <w:rFonts w:ascii="Traditional Arabic" w:eastAsia="Calibri" w:hAnsi="Traditional Arabic"/>
          <w:sz w:val="30"/>
          <w:rtl/>
          <w:lang w:val="en-GB" w:eastAsia="zh-TW"/>
        </w:rPr>
        <w:t>تكون</w:t>
      </w:r>
      <w:r w:rsidRPr="008554EB">
        <w:rPr>
          <w:rFonts w:ascii="Traditional Arabic" w:eastAsia="Calibri" w:hAnsi="Traditional Arabic" w:hint="cs"/>
          <w:sz w:val="30"/>
          <w:rtl/>
          <w:lang w:val="en-GB" w:eastAsia="zh-TW"/>
        </w:rPr>
        <w:t xml:space="preserve"> اللغة</w:t>
      </w:r>
      <w:r w:rsidRPr="008554EB">
        <w:rPr>
          <w:rFonts w:ascii="Traditional Arabic" w:eastAsia="Calibri" w:hAnsi="Traditional Arabic"/>
          <w:sz w:val="30"/>
          <w:rtl/>
          <w:lang w:val="en-GB" w:eastAsia="zh-TW"/>
        </w:rPr>
        <w:t xml:space="preserve"> الإنجليزية هي لغة عمل فريق الخبراء التقنيين.</w:t>
      </w:r>
    </w:p>
    <w:sectPr w:rsidR="00770CC9" w:rsidRPr="00B063F1" w:rsidSect="009D5919">
      <w:headerReference w:type="even" r:id="rId10"/>
      <w:headerReference w:type="default" r:id="rId11"/>
      <w:footerReference w:type="even" r:id="rId12"/>
      <w:footerReference w:type="default" r:id="rId13"/>
      <w:endnotePr>
        <w:numFmt w:val="lowerLetter"/>
      </w:endnotePr>
      <w:type w:val="continuous"/>
      <w:pgSz w:w="11906" w:h="16838" w:code="9"/>
      <w:pgMar w:top="907" w:right="1418" w:bottom="1418" w:left="992" w:header="539" w:footer="975"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1B707B" w14:textId="77777777" w:rsidR="00134CAC" w:rsidRDefault="00134CAC">
      <w:r>
        <w:separator/>
      </w:r>
    </w:p>
  </w:endnote>
  <w:endnote w:type="continuationSeparator" w:id="0">
    <w:p w14:paraId="618ACED5" w14:textId="77777777" w:rsidR="00134CAC" w:rsidRDefault="00134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aditional Arabic">
    <w:altName w:val="Traditional Arabic"/>
    <w:charset w:val="B2"/>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Times">
    <w:altName w:val="Sylfaen"/>
    <w:panose1 w:val="02020603050405020304"/>
    <w:charset w:val="00"/>
    <w:family w:val="roman"/>
    <w:pitch w:val="variable"/>
    <w:sig w:usb0="E0002EFF" w:usb1="C000785B" w:usb2="00000009" w:usb3="00000000" w:csb0="000001FF" w:csb1="00000000"/>
  </w:font>
  <w:font w:name="Arabic Transparent">
    <w:altName w:val="Sylfaen"/>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udir MT">
    <w:panose1 w:val="00000000000000000000"/>
    <w:charset w:val="B2"/>
    <w:family w:val="auto"/>
    <w:pitch w:val="variable"/>
    <w:sig w:usb0="00002001" w:usb1="00000000" w:usb2="00000000" w:usb3="00000000" w:csb0="00000040" w:csb1="00000000"/>
  </w:font>
  <w:font w:name="Simplified Arabic">
    <w:charset w:val="B2"/>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63B1C" w14:textId="6A3D582A" w:rsidR="0088128D" w:rsidRDefault="0088128D" w:rsidP="0088128D">
    <w:pPr>
      <w:pStyle w:val="Footer"/>
      <w:tabs>
        <w:tab w:val="clear" w:pos="4153"/>
        <w:tab w:val="clear" w:pos="8306"/>
        <w:tab w:val="left" w:pos="4193"/>
        <w:tab w:val="right" w:pos="9496"/>
      </w:tabs>
      <w:bidi/>
      <w:jc w:val="left"/>
      <w:rPr>
        <w:rStyle w:val="PageNumber"/>
        <w:rFonts w:ascii="Times New Roman" w:hAnsi="Times New Roman" w:cs="Times New Roman"/>
        <w:sz w:val="18"/>
        <w:szCs w:val="18"/>
      </w:rPr>
    </w:pPr>
  </w:p>
  <w:p w14:paraId="4E6C3752" w14:textId="3DD39242" w:rsidR="0088128D" w:rsidRPr="00FB3810" w:rsidRDefault="0088128D" w:rsidP="0088128D">
    <w:pPr>
      <w:pStyle w:val="Footer"/>
      <w:tabs>
        <w:tab w:val="clear" w:pos="4153"/>
        <w:tab w:val="clear" w:pos="8306"/>
        <w:tab w:val="left" w:pos="4193"/>
        <w:tab w:val="right" w:pos="9496"/>
      </w:tabs>
      <w:bidi/>
      <w:jc w:val="left"/>
      <w:rPr>
        <w:rFonts w:ascii="Times New Roman" w:hAnsi="Times New Roman" w:cs="Times New Roman"/>
        <w:sz w:val="18"/>
        <w:szCs w:val="18"/>
        <w:rtl/>
      </w:rPr>
    </w:pPr>
    <w:r w:rsidRPr="00FB3810">
      <w:rPr>
        <w:rStyle w:val="PageNumber"/>
        <w:rFonts w:ascii="Times New Roman" w:hAnsi="Times New Roman" w:cs="Times New Roman"/>
        <w:sz w:val="18"/>
        <w:szCs w:val="18"/>
      </w:rPr>
      <w:fldChar w:fldCharType="begin"/>
    </w:r>
    <w:r w:rsidRPr="00FB3810">
      <w:rPr>
        <w:rStyle w:val="PageNumber"/>
        <w:rFonts w:ascii="Times New Roman" w:hAnsi="Times New Roman" w:cs="Times New Roman"/>
        <w:sz w:val="18"/>
        <w:szCs w:val="18"/>
        <w:rtl/>
      </w:rPr>
      <w:instrText xml:space="preserve"> </w:instrText>
    </w:r>
    <w:r w:rsidRPr="00FB3810">
      <w:rPr>
        <w:rStyle w:val="PageNumber"/>
        <w:rFonts w:ascii="Times New Roman" w:hAnsi="Times New Roman" w:cs="Times New Roman"/>
        <w:sz w:val="18"/>
        <w:szCs w:val="18"/>
      </w:rPr>
      <w:instrText>PAGE</w:instrText>
    </w:r>
    <w:r w:rsidRPr="00FB3810">
      <w:rPr>
        <w:rStyle w:val="PageNumber"/>
        <w:rFonts w:ascii="Times New Roman" w:hAnsi="Times New Roman" w:cs="Times New Roman"/>
        <w:sz w:val="18"/>
        <w:szCs w:val="18"/>
        <w:rtl/>
      </w:rPr>
      <w:instrText xml:space="preserve"> </w:instrText>
    </w:r>
    <w:r w:rsidRPr="00FB3810">
      <w:rPr>
        <w:rStyle w:val="PageNumber"/>
        <w:rFonts w:ascii="Times New Roman" w:hAnsi="Times New Roman" w:cs="Times New Roman"/>
        <w:sz w:val="18"/>
        <w:szCs w:val="18"/>
      </w:rPr>
      <w:fldChar w:fldCharType="separate"/>
    </w:r>
    <w:r>
      <w:rPr>
        <w:rStyle w:val="PageNumber"/>
        <w:rFonts w:ascii="Times New Roman" w:hAnsi="Times New Roman" w:cs="Times New Roman"/>
        <w:sz w:val="18"/>
        <w:szCs w:val="18"/>
      </w:rPr>
      <w:t>46</w:t>
    </w:r>
    <w:r w:rsidRPr="00FB3810">
      <w:rPr>
        <w:rStyle w:val="PageNumber"/>
        <w:rFonts w:ascii="Times New Roman" w:hAnsi="Times New Roman" w:cs="Times New Roman"/>
        <w:sz w:val="18"/>
        <w:szCs w:val="18"/>
      </w:rPr>
      <w:fldChar w:fldCharType="end"/>
    </w:r>
  </w:p>
  <w:p w14:paraId="79FE78D7" w14:textId="77777777" w:rsidR="0088128D" w:rsidRDefault="008812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3AB61" w14:textId="5A9A10EE" w:rsidR="0088128D" w:rsidRPr="0088128D" w:rsidRDefault="0088128D" w:rsidP="0088128D">
    <w:pPr>
      <w:pStyle w:val="Footer"/>
      <w:tabs>
        <w:tab w:val="clear" w:pos="4153"/>
        <w:tab w:val="clear" w:pos="8306"/>
      </w:tabs>
      <w:spacing w:before="40"/>
      <w:jc w:val="both"/>
      <w:rPr>
        <w:rFonts w:ascii="Times New Roman" w:hAnsi="Times New Roman" w:cs="Times New Roman"/>
        <w:sz w:val="18"/>
        <w:szCs w:val="18"/>
      </w:rPr>
    </w:pPr>
    <w:r w:rsidRPr="00FB3810">
      <w:rPr>
        <w:rStyle w:val="PageNumber"/>
        <w:rFonts w:ascii="Times New Roman" w:hAnsi="Times New Roman" w:cs="Times New Roman"/>
        <w:sz w:val="18"/>
        <w:szCs w:val="18"/>
      </w:rPr>
      <w:fldChar w:fldCharType="begin"/>
    </w:r>
    <w:r w:rsidRPr="00FB3810">
      <w:rPr>
        <w:rStyle w:val="PageNumber"/>
        <w:rFonts w:ascii="Times New Roman" w:hAnsi="Times New Roman" w:cs="Times New Roman"/>
        <w:sz w:val="18"/>
        <w:szCs w:val="18"/>
        <w:rtl/>
      </w:rPr>
      <w:instrText xml:space="preserve"> </w:instrText>
    </w:r>
    <w:r w:rsidRPr="00FB3810">
      <w:rPr>
        <w:rStyle w:val="PageNumber"/>
        <w:rFonts w:ascii="Times New Roman" w:hAnsi="Times New Roman" w:cs="Times New Roman"/>
        <w:sz w:val="18"/>
        <w:szCs w:val="18"/>
      </w:rPr>
      <w:instrText>PAGE</w:instrText>
    </w:r>
    <w:r w:rsidRPr="00FB3810">
      <w:rPr>
        <w:rStyle w:val="PageNumber"/>
        <w:rFonts w:ascii="Times New Roman" w:hAnsi="Times New Roman" w:cs="Times New Roman"/>
        <w:sz w:val="18"/>
        <w:szCs w:val="18"/>
        <w:rtl/>
      </w:rPr>
      <w:instrText xml:space="preserve"> </w:instrText>
    </w:r>
    <w:r w:rsidRPr="00FB3810">
      <w:rPr>
        <w:rStyle w:val="PageNumber"/>
        <w:rFonts w:ascii="Times New Roman" w:hAnsi="Times New Roman" w:cs="Times New Roman"/>
        <w:sz w:val="18"/>
        <w:szCs w:val="18"/>
      </w:rPr>
      <w:fldChar w:fldCharType="separate"/>
    </w:r>
    <w:r>
      <w:rPr>
        <w:rStyle w:val="PageNumber"/>
        <w:rFonts w:ascii="Times New Roman" w:hAnsi="Times New Roman" w:cs="Times New Roman"/>
        <w:sz w:val="18"/>
        <w:szCs w:val="18"/>
      </w:rPr>
      <w:t>47</w:t>
    </w:r>
    <w:r w:rsidRPr="00FB3810">
      <w:rPr>
        <w:rStyle w:val="PageNumber"/>
        <w:rFonts w:ascii="Times New Roman" w:hAnsi="Times New Roman"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BDD47A" w14:textId="77777777" w:rsidR="00134CAC" w:rsidRDefault="00134CAC" w:rsidP="008A79DC">
      <w:pPr>
        <w:bidi/>
        <w:ind w:left="720"/>
      </w:pPr>
      <w:r>
        <w:separator/>
      </w:r>
    </w:p>
  </w:footnote>
  <w:footnote w:type="continuationSeparator" w:id="0">
    <w:p w14:paraId="5F7478D0" w14:textId="77777777" w:rsidR="00134CAC" w:rsidRDefault="00134C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6233D" w14:textId="71C28029" w:rsidR="0088128D" w:rsidRPr="0088128D" w:rsidRDefault="0088128D" w:rsidP="0088128D">
    <w:pPr>
      <w:pBdr>
        <w:bottom w:val="single" w:sz="4" w:space="0" w:color="auto"/>
      </w:pBdr>
      <w:spacing w:before="20" w:after="40"/>
      <w:jc w:val="right"/>
      <w:rPr>
        <w:b/>
        <w:bCs/>
        <w:sz w:val="17"/>
        <w:szCs w:val="17"/>
        <w:lang w:val="fr-FR"/>
      </w:rPr>
    </w:pPr>
    <w:r w:rsidRPr="00316903">
      <w:rPr>
        <w:rStyle w:val="PageNumber"/>
        <w:b/>
        <w:bCs/>
        <w:sz w:val="17"/>
        <w:szCs w:val="17"/>
        <w:lang w:val="fr-FR"/>
      </w:rPr>
      <w:t>UNEP</w:t>
    </w:r>
    <w:r>
      <w:rPr>
        <w:rStyle w:val="PageNumber"/>
        <w:b/>
        <w:bCs/>
        <w:sz w:val="17"/>
        <w:szCs w:val="17"/>
        <w:lang w:val="fr-FR"/>
      </w:rPr>
      <w:t>/MC</w:t>
    </w:r>
    <w:r>
      <w:rPr>
        <w:rFonts w:cs="Times New Roman"/>
        <w:b/>
        <w:bCs/>
        <w:sz w:val="17"/>
        <w:szCs w:val="17"/>
      </w:rPr>
      <w:t>/COP.2/</w:t>
    </w:r>
    <w:r>
      <w:rPr>
        <w:b/>
        <w:bCs/>
        <w:sz w:val="17"/>
        <w:szCs w:val="17"/>
        <w:lang w:val="fr-FR"/>
      </w:rPr>
      <w:t>Dec.</w:t>
    </w:r>
    <w:r w:rsidR="00894ADE">
      <w:rPr>
        <w:b/>
        <w:bCs/>
        <w:sz w:val="17"/>
        <w:szCs w:val="17"/>
        <w:lang w:val="fr-FR"/>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593EA" w14:textId="324F26B1" w:rsidR="0088128D" w:rsidRPr="0088128D" w:rsidRDefault="0088128D" w:rsidP="0088128D">
    <w:pPr>
      <w:pBdr>
        <w:bottom w:val="single" w:sz="4" w:space="0" w:color="auto"/>
      </w:pBdr>
      <w:spacing w:before="20" w:after="40"/>
      <w:jc w:val="both"/>
      <w:rPr>
        <w:b/>
        <w:bCs/>
        <w:sz w:val="17"/>
        <w:szCs w:val="17"/>
        <w:lang w:val="fr-FR"/>
      </w:rPr>
    </w:pPr>
    <w:r w:rsidRPr="00316903">
      <w:rPr>
        <w:rStyle w:val="PageNumber"/>
        <w:b/>
        <w:bCs/>
        <w:sz w:val="17"/>
        <w:szCs w:val="17"/>
        <w:lang w:val="fr-FR"/>
      </w:rPr>
      <w:t>UNEP</w:t>
    </w:r>
    <w:r>
      <w:rPr>
        <w:rStyle w:val="PageNumber"/>
        <w:b/>
        <w:bCs/>
        <w:sz w:val="17"/>
        <w:szCs w:val="17"/>
        <w:lang w:val="fr-FR"/>
      </w:rPr>
      <w:t>/MC</w:t>
    </w:r>
    <w:r>
      <w:rPr>
        <w:rFonts w:cs="Times New Roman"/>
        <w:b/>
        <w:bCs/>
        <w:sz w:val="17"/>
        <w:szCs w:val="17"/>
      </w:rPr>
      <w:t>/COP.2/Dec.</w:t>
    </w:r>
    <w:r w:rsidR="00894ADE">
      <w:rPr>
        <w:rFonts w:cs="Times New Roman"/>
        <w:b/>
        <w:bCs/>
        <w:sz w:val="17"/>
        <w:szCs w:val="17"/>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48241D10"/>
    <w:styleLink w:val="Normallist4"/>
    <w:lvl w:ilvl="0">
      <w:start w:val="1"/>
      <w:numFmt w:val="decimal"/>
      <w:pStyle w:val="Normalnumber"/>
      <w:lvlText w:val="%1."/>
      <w:lvlJc w:val="left"/>
      <w:pPr>
        <w:tabs>
          <w:tab w:val="num" w:pos="2551"/>
        </w:tabs>
        <w:ind w:left="3231"/>
      </w:pPr>
      <w:rPr>
        <w:rFonts w:cs="Times New Roman" w:hint="eastAsia"/>
      </w:rPr>
    </w:lvl>
    <w:lvl w:ilvl="1">
      <w:start w:val="1"/>
      <w:numFmt w:val="lowerLetter"/>
      <w:lvlText w:val="(%2)"/>
      <w:lvlJc w:val="left"/>
      <w:pPr>
        <w:tabs>
          <w:tab w:val="num" w:pos="2551"/>
        </w:tabs>
        <w:ind w:left="3231" w:firstLine="567"/>
      </w:pPr>
      <w:rPr>
        <w:rFonts w:cs="Times New Roman" w:hint="eastAsia"/>
      </w:rPr>
    </w:lvl>
    <w:lvl w:ilvl="2">
      <w:start w:val="1"/>
      <w:numFmt w:val="lowerRoman"/>
      <w:lvlText w:val="(%3)"/>
      <w:lvlJc w:val="left"/>
      <w:pPr>
        <w:tabs>
          <w:tab w:val="num" w:pos="2551"/>
        </w:tabs>
        <w:ind w:left="4932" w:hanging="567"/>
      </w:pPr>
      <w:rPr>
        <w:rFonts w:cs="Times New Roman" w:hint="eastAsia"/>
      </w:rPr>
    </w:lvl>
    <w:lvl w:ilvl="3">
      <w:start w:val="1"/>
      <w:numFmt w:val="lowerLetter"/>
      <w:lvlText w:val="%4."/>
      <w:lvlJc w:val="left"/>
      <w:pPr>
        <w:tabs>
          <w:tab w:val="num" w:pos="2551"/>
        </w:tabs>
        <w:ind w:left="5499" w:hanging="567"/>
      </w:pPr>
      <w:rPr>
        <w:rFonts w:cs="Times New Roman" w:hint="eastAsia"/>
      </w:rPr>
    </w:lvl>
    <w:lvl w:ilvl="4">
      <w:start w:val="1"/>
      <w:numFmt w:val="lowerLetter"/>
      <w:lvlText w:val="%5."/>
      <w:lvlJc w:val="left"/>
      <w:pPr>
        <w:tabs>
          <w:tab w:val="num" w:pos="8532"/>
        </w:tabs>
        <w:ind w:left="8532" w:hanging="360"/>
      </w:pPr>
      <w:rPr>
        <w:rFonts w:cs="Times New Roman" w:hint="eastAsia"/>
      </w:rPr>
    </w:lvl>
    <w:lvl w:ilvl="5">
      <w:start w:val="1"/>
      <w:numFmt w:val="lowerRoman"/>
      <w:lvlText w:val="%6."/>
      <w:lvlJc w:val="right"/>
      <w:pPr>
        <w:tabs>
          <w:tab w:val="num" w:pos="9252"/>
        </w:tabs>
        <w:ind w:left="9252" w:hanging="180"/>
      </w:pPr>
      <w:rPr>
        <w:rFonts w:cs="Times New Roman" w:hint="eastAsia"/>
      </w:rPr>
    </w:lvl>
    <w:lvl w:ilvl="6">
      <w:start w:val="1"/>
      <w:numFmt w:val="decimal"/>
      <w:lvlText w:val="%7."/>
      <w:lvlJc w:val="left"/>
      <w:pPr>
        <w:tabs>
          <w:tab w:val="num" w:pos="9972"/>
        </w:tabs>
        <w:ind w:left="9972" w:hanging="360"/>
      </w:pPr>
      <w:rPr>
        <w:rFonts w:cs="Times New Roman" w:hint="eastAsia"/>
      </w:rPr>
    </w:lvl>
    <w:lvl w:ilvl="7">
      <w:start w:val="1"/>
      <w:numFmt w:val="lowerLetter"/>
      <w:lvlText w:val="%8."/>
      <w:lvlJc w:val="left"/>
      <w:pPr>
        <w:tabs>
          <w:tab w:val="num" w:pos="10692"/>
        </w:tabs>
        <w:ind w:left="10692" w:hanging="360"/>
      </w:pPr>
      <w:rPr>
        <w:rFonts w:cs="Times New Roman" w:hint="eastAsia"/>
      </w:rPr>
    </w:lvl>
    <w:lvl w:ilvl="8">
      <w:start w:val="1"/>
      <w:numFmt w:val="lowerRoman"/>
      <w:lvlText w:val="%9."/>
      <w:lvlJc w:val="right"/>
      <w:pPr>
        <w:tabs>
          <w:tab w:val="num" w:pos="11412"/>
        </w:tabs>
        <w:ind w:left="11412" w:hanging="180"/>
      </w:pPr>
      <w:rPr>
        <w:rFonts w:cs="Times New Roman" w:hint="eastAsia"/>
      </w:rPr>
    </w:lvl>
  </w:abstractNum>
  <w:abstractNum w:abstractNumId="1" w15:restartNumberingAfterBreak="0">
    <w:nsid w:val="03452026"/>
    <w:multiLevelType w:val="hybridMultilevel"/>
    <w:tmpl w:val="BAD2843A"/>
    <w:lvl w:ilvl="0" w:tplc="2054BBFA">
      <w:start w:val="1"/>
      <w:numFmt w:val="decimal"/>
      <w:lvlText w:val="%1-"/>
      <w:lvlJc w:val="left"/>
      <w:pPr>
        <w:ind w:left="1080" w:hanging="720"/>
      </w:pPr>
      <w:rPr>
        <w:rFonts w:ascii="Traditional Arabic" w:eastAsia="Times New Roman" w:hAnsi="Traditional Arabic" w:cs="Traditional Arabic"/>
        <w:b w:val="0"/>
        <w:bCs w:val="0"/>
        <w:i/>
        <w:iCs w:val="0"/>
        <w:sz w:val="30"/>
        <w:szCs w:val="3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6B97A94"/>
    <w:multiLevelType w:val="hybridMultilevel"/>
    <w:tmpl w:val="79ECD2AC"/>
    <w:lvl w:ilvl="0" w:tplc="2000000F">
      <w:start w:val="1"/>
      <w:numFmt w:val="decimal"/>
      <w:lvlText w:val="%1."/>
      <w:lvlJc w:val="left"/>
      <w:pPr>
        <w:ind w:left="720" w:hanging="360"/>
      </w:pPr>
    </w:lvl>
    <w:lvl w:ilvl="1" w:tplc="C44653FC">
      <w:start w:val="1"/>
      <w:numFmt w:val="lowerLetter"/>
      <w:lvlText w:val="(%2)"/>
      <w:lvlJc w:val="left"/>
      <w:pPr>
        <w:ind w:left="1440" w:hanging="360"/>
      </w:pPr>
      <w:rPr>
        <w:rFonts w:hint="default"/>
      </w:r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1F2E6E03"/>
    <w:multiLevelType w:val="hybridMultilevel"/>
    <w:tmpl w:val="1B062D82"/>
    <w:lvl w:ilvl="0" w:tplc="75F48510">
      <w:start w:val="1"/>
      <w:numFmt w:val="arabicAbjad"/>
      <w:lvlText w:val="(%1)"/>
      <w:lvlJc w:val="left"/>
      <w:pPr>
        <w:ind w:left="2561" w:hanging="720"/>
      </w:pPr>
      <w:rPr>
        <w:rFonts w:hint="default"/>
      </w:rPr>
    </w:lvl>
    <w:lvl w:ilvl="1" w:tplc="04090019" w:tentative="1">
      <w:start w:val="1"/>
      <w:numFmt w:val="lowerLetter"/>
      <w:lvlText w:val="%2."/>
      <w:lvlJc w:val="left"/>
      <w:pPr>
        <w:ind w:left="2921" w:hanging="360"/>
      </w:pPr>
    </w:lvl>
    <w:lvl w:ilvl="2" w:tplc="0409001B" w:tentative="1">
      <w:start w:val="1"/>
      <w:numFmt w:val="lowerRoman"/>
      <w:lvlText w:val="%3."/>
      <w:lvlJc w:val="right"/>
      <w:pPr>
        <w:ind w:left="3641" w:hanging="180"/>
      </w:pPr>
    </w:lvl>
    <w:lvl w:ilvl="3" w:tplc="0409000F" w:tentative="1">
      <w:start w:val="1"/>
      <w:numFmt w:val="decimal"/>
      <w:lvlText w:val="%4."/>
      <w:lvlJc w:val="left"/>
      <w:pPr>
        <w:ind w:left="4361" w:hanging="360"/>
      </w:pPr>
    </w:lvl>
    <w:lvl w:ilvl="4" w:tplc="04090019" w:tentative="1">
      <w:start w:val="1"/>
      <w:numFmt w:val="lowerLetter"/>
      <w:lvlText w:val="%5."/>
      <w:lvlJc w:val="left"/>
      <w:pPr>
        <w:ind w:left="5081" w:hanging="360"/>
      </w:pPr>
    </w:lvl>
    <w:lvl w:ilvl="5" w:tplc="0409001B" w:tentative="1">
      <w:start w:val="1"/>
      <w:numFmt w:val="lowerRoman"/>
      <w:lvlText w:val="%6."/>
      <w:lvlJc w:val="right"/>
      <w:pPr>
        <w:ind w:left="5801" w:hanging="180"/>
      </w:pPr>
    </w:lvl>
    <w:lvl w:ilvl="6" w:tplc="0409000F" w:tentative="1">
      <w:start w:val="1"/>
      <w:numFmt w:val="decimal"/>
      <w:lvlText w:val="%7."/>
      <w:lvlJc w:val="left"/>
      <w:pPr>
        <w:ind w:left="6521" w:hanging="360"/>
      </w:pPr>
    </w:lvl>
    <w:lvl w:ilvl="7" w:tplc="04090019" w:tentative="1">
      <w:start w:val="1"/>
      <w:numFmt w:val="lowerLetter"/>
      <w:lvlText w:val="%8."/>
      <w:lvlJc w:val="left"/>
      <w:pPr>
        <w:ind w:left="7241" w:hanging="360"/>
      </w:pPr>
    </w:lvl>
    <w:lvl w:ilvl="8" w:tplc="0409001B" w:tentative="1">
      <w:start w:val="1"/>
      <w:numFmt w:val="lowerRoman"/>
      <w:lvlText w:val="%9."/>
      <w:lvlJc w:val="right"/>
      <w:pPr>
        <w:ind w:left="7961" w:hanging="180"/>
      </w:pPr>
    </w:lvl>
  </w:abstractNum>
  <w:abstractNum w:abstractNumId="4" w15:restartNumberingAfterBreak="0">
    <w:nsid w:val="39291CC6"/>
    <w:multiLevelType w:val="hybridMultilevel"/>
    <w:tmpl w:val="12CEB63C"/>
    <w:lvl w:ilvl="0" w:tplc="B7967132">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C553BA7"/>
    <w:multiLevelType w:val="hybridMultilevel"/>
    <w:tmpl w:val="535ECB16"/>
    <w:lvl w:ilvl="0" w:tplc="EADCBD3E">
      <w:start w:val="1"/>
      <w:numFmt w:val="decimal"/>
      <w:lvlText w:val="%1-"/>
      <w:lvlJc w:val="left"/>
      <w:pPr>
        <w:ind w:left="2071" w:hanging="360"/>
      </w:pPr>
      <w:rPr>
        <w:rFonts w:hint="default"/>
        <w:b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7B7054"/>
    <w:multiLevelType w:val="hybridMultilevel"/>
    <w:tmpl w:val="93D036B0"/>
    <w:lvl w:ilvl="0" w:tplc="62001DB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505400"/>
    <w:multiLevelType w:val="hybridMultilevel"/>
    <w:tmpl w:val="A64ADA34"/>
    <w:styleLink w:val="Importovanstyl6"/>
    <w:lvl w:ilvl="0" w:tplc="7B446134">
      <w:start w:val="1"/>
      <w:numFmt w:val="lowerRoman"/>
      <w:lvlText w:val="(%1)"/>
      <w:lvlJc w:val="left"/>
      <w:pPr>
        <w:tabs>
          <w:tab w:val="left" w:pos="624"/>
          <w:tab w:val="num" w:pos="1247"/>
          <w:tab w:val="left" w:pos="1814"/>
          <w:tab w:val="left" w:pos="2381"/>
          <w:tab w:val="left" w:pos="2948"/>
          <w:tab w:val="left" w:pos="3515"/>
        </w:tabs>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93127F10">
      <w:start w:val="1"/>
      <w:numFmt w:val="lowerLetter"/>
      <w:lvlText w:val="%2."/>
      <w:lvlJc w:val="left"/>
      <w:pPr>
        <w:tabs>
          <w:tab w:val="left" w:pos="624"/>
          <w:tab w:val="left" w:pos="1247"/>
          <w:tab w:val="num" w:pos="1620"/>
          <w:tab w:val="left" w:pos="1814"/>
          <w:tab w:val="left" w:pos="2381"/>
          <w:tab w:val="left" w:pos="2948"/>
          <w:tab w:val="left" w:pos="3515"/>
        </w:tabs>
        <w:ind w:left="1633" w:hanging="193"/>
      </w:pPr>
      <w:rPr>
        <w:rFonts w:hAnsi="Arial Unicode MS"/>
        <w:caps w:val="0"/>
        <w:smallCaps w:val="0"/>
        <w:strike w:val="0"/>
        <w:dstrike w:val="0"/>
        <w:outline w:val="0"/>
        <w:emboss w:val="0"/>
        <w:imprint w:val="0"/>
        <w:spacing w:val="0"/>
        <w:w w:val="100"/>
        <w:kern w:val="0"/>
        <w:position w:val="0"/>
        <w:highlight w:val="none"/>
        <w:vertAlign w:val="baseline"/>
      </w:rPr>
    </w:lvl>
    <w:lvl w:ilvl="2" w:tplc="EB907B42">
      <w:start w:val="1"/>
      <w:numFmt w:val="lowerRoman"/>
      <w:suff w:val="nothing"/>
      <w:lvlText w:val="%3."/>
      <w:lvlJc w:val="left"/>
      <w:pPr>
        <w:tabs>
          <w:tab w:val="left" w:pos="624"/>
          <w:tab w:val="left" w:pos="1247"/>
          <w:tab w:val="left" w:pos="1814"/>
          <w:tab w:val="left" w:pos="2381"/>
          <w:tab w:val="left" w:pos="2948"/>
          <w:tab w:val="left" w:pos="3515"/>
        </w:tabs>
        <w:ind w:left="2353" w:hanging="154"/>
      </w:pPr>
      <w:rPr>
        <w:rFonts w:hAnsi="Arial Unicode MS"/>
        <w:caps w:val="0"/>
        <w:smallCaps w:val="0"/>
        <w:strike w:val="0"/>
        <w:dstrike w:val="0"/>
        <w:outline w:val="0"/>
        <w:emboss w:val="0"/>
        <w:imprint w:val="0"/>
        <w:spacing w:val="0"/>
        <w:w w:val="100"/>
        <w:kern w:val="0"/>
        <w:position w:val="0"/>
        <w:highlight w:val="none"/>
        <w:vertAlign w:val="baseline"/>
      </w:rPr>
    </w:lvl>
    <w:lvl w:ilvl="3" w:tplc="F5D69BA4">
      <w:start w:val="1"/>
      <w:numFmt w:val="decimal"/>
      <w:lvlText w:val="%4."/>
      <w:lvlJc w:val="left"/>
      <w:pPr>
        <w:tabs>
          <w:tab w:val="left" w:pos="624"/>
          <w:tab w:val="left" w:pos="1247"/>
          <w:tab w:val="left" w:pos="1814"/>
          <w:tab w:val="left" w:pos="2381"/>
          <w:tab w:val="left" w:pos="2948"/>
          <w:tab w:val="num" w:pos="3060"/>
          <w:tab w:val="left" w:pos="3515"/>
        </w:tabs>
        <w:ind w:left="3073" w:hanging="193"/>
      </w:pPr>
      <w:rPr>
        <w:rFonts w:hAnsi="Arial Unicode MS"/>
        <w:caps w:val="0"/>
        <w:smallCaps w:val="0"/>
        <w:strike w:val="0"/>
        <w:dstrike w:val="0"/>
        <w:outline w:val="0"/>
        <w:emboss w:val="0"/>
        <w:imprint w:val="0"/>
        <w:spacing w:val="0"/>
        <w:w w:val="100"/>
        <w:kern w:val="0"/>
        <w:position w:val="0"/>
        <w:highlight w:val="none"/>
        <w:vertAlign w:val="baseline"/>
      </w:rPr>
    </w:lvl>
    <w:lvl w:ilvl="4" w:tplc="672A2F72">
      <w:start w:val="1"/>
      <w:numFmt w:val="lowerLetter"/>
      <w:lvlText w:val="%5."/>
      <w:lvlJc w:val="left"/>
      <w:pPr>
        <w:tabs>
          <w:tab w:val="left" w:pos="624"/>
          <w:tab w:val="left" w:pos="1247"/>
          <w:tab w:val="left" w:pos="1814"/>
          <w:tab w:val="left" w:pos="2381"/>
          <w:tab w:val="left" w:pos="2948"/>
          <w:tab w:val="left" w:pos="3515"/>
          <w:tab w:val="num" w:pos="3780"/>
        </w:tabs>
        <w:ind w:left="3793" w:hanging="193"/>
      </w:pPr>
      <w:rPr>
        <w:rFonts w:hAnsi="Arial Unicode MS"/>
        <w:caps w:val="0"/>
        <w:smallCaps w:val="0"/>
        <w:strike w:val="0"/>
        <w:dstrike w:val="0"/>
        <w:outline w:val="0"/>
        <w:emboss w:val="0"/>
        <w:imprint w:val="0"/>
        <w:spacing w:val="0"/>
        <w:w w:val="100"/>
        <w:kern w:val="0"/>
        <w:position w:val="0"/>
        <w:highlight w:val="none"/>
        <w:vertAlign w:val="baseline"/>
      </w:rPr>
    </w:lvl>
    <w:lvl w:ilvl="5" w:tplc="986A8F06">
      <w:start w:val="1"/>
      <w:numFmt w:val="lowerRoman"/>
      <w:lvlText w:val="%6."/>
      <w:lvlJc w:val="left"/>
      <w:pPr>
        <w:tabs>
          <w:tab w:val="left" w:pos="624"/>
          <w:tab w:val="left" w:pos="1247"/>
          <w:tab w:val="left" w:pos="1814"/>
          <w:tab w:val="left" w:pos="2381"/>
          <w:tab w:val="left" w:pos="2948"/>
          <w:tab w:val="left" w:pos="3515"/>
          <w:tab w:val="num" w:pos="4500"/>
        </w:tabs>
        <w:ind w:left="4513" w:hanging="605"/>
      </w:pPr>
      <w:rPr>
        <w:rFonts w:hAnsi="Arial Unicode MS"/>
        <w:caps w:val="0"/>
        <w:smallCaps w:val="0"/>
        <w:strike w:val="0"/>
        <w:dstrike w:val="0"/>
        <w:outline w:val="0"/>
        <w:emboss w:val="0"/>
        <w:imprint w:val="0"/>
        <w:spacing w:val="0"/>
        <w:w w:val="100"/>
        <w:kern w:val="0"/>
        <w:position w:val="0"/>
        <w:highlight w:val="none"/>
        <w:vertAlign w:val="baseline"/>
      </w:rPr>
    </w:lvl>
    <w:lvl w:ilvl="6" w:tplc="3DE28712">
      <w:start w:val="1"/>
      <w:numFmt w:val="decimal"/>
      <w:lvlText w:val="%7."/>
      <w:lvlJc w:val="left"/>
      <w:pPr>
        <w:tabs>
          <w:tab w:val="left" w:pos="624"/>
          <w:tab w:val="left" w:pos="1247"/>
          <w:tab w:val="left" w:pos="1814"/>
          <w:tab w:val="left" w:pos="2381"/>
          <w:tab w:val="left" w:pos="2948"/>
          <w:tab w:val="left" w:pos="3515"/>
          <w:tab w:val="num" w:pos="5220"/>
        </w:tabs>
        <w:ind w:left="5233" w:hanging="193"/>
      </w:pPr>
      <w:rPr>
        <w:rFonts w:hAnsi="Arial Unicode MS"/>
        <w:caps w:val="0"/>
        <w:smallCaps w:val="0"/>
        <w:strike w:val="0"/>
        <w:dstrike w:val="0"/>
        <w:outline w:val="0"/>
        <w:emboss w:val="0"/>
        <w:imprint w:val="0"/>
        <w:spacing w:val="0"/>
        <w:w w:val="100"/>
        <w:kern w:val="0"/>
        <w:position w:val="0"/>
        <w:highlight w:val="none"/>
        <w:vertAlign w:val="baseline"/>
      </w:rPr>
    </w:lvl>
    <w:lvl w:ilvl="7" w:tplc="37D8D5FA">
      <w:start w:val="1"/>
      <w:numFmt w:val="lowerLetter"/>
      <w:lvlText w:val="%8."/>
      <w:lvlJc w:val="left"/>
      <w:pPr>
        <w:tabs>
          <w:tab w:val="left" w:pos="624"/>
          <w:tab w:val="left" w:pos="1247"/>
          <w:tab w:val="left" w:pos="1814"/>
          <w:tab w:val="left" w:pos="2381"/>
          <w:tab w:val="left" w:pos="2948"/>
          <w:tab w:val="left" w:pos="3515"/>
          <w:tab w:val="num" w:pos="5940"/>
        </w:tabs>
        <w:ind w:left="5953" w:hanging="193"/>
      </w:pPr>
      <w:rPr>
        <w:rFonts w:hAnsi="Arial Unicode MS"/>
        <w:caps w:val="0"/>
        <w:smallCaps w:val="0"/>
        <w:strike w:val="0"/>
        <w:dstrike w:val="0"/>
        <w:outline w:val="0"/>
        <w:emboss w:val="0"/>
        <w:imprint w:val="0"/>
        <w:spacing w:val="0"/>
        <w:w w:val="100"/>
        <w:kern w:val="0"/>
        <w:position w:val="0"/>
        <w:highlight w:val="none"/>
        <w:vertAlign w:val="baseline"/>
      </w:rPr>
    </w:lvl>
    <w:lvl w:ilvl="8" w:tplc="74B6C704">
      <w:start w:val="1"/>
      <w:numFmt w:val="lowerRoman"/>
      <w:lvlText w:val="%9."/>
      <w:lvlJc w:val="left"/>
      <w:pPr>
        <w:tabs>
          <w:tab w:val="left" w:pos="624"/>
          <w:tab w:val="left" w:pos="1247"/>
          <w:tab w:val="left" w:pos="1814"/>
          <w:tab w:val="left" w:pos="2381"/>
          <w:tab w:val="left" w:pos="2948"/>
          <w:tab w:val="left" w:pos="3515"/>
          <w:tab w:val="num" w:pos="6660"/>
        </w:tabs>
        <w:ind w:left="6673" w:hanging="31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2A66A9D"/>
    <w:multiLevelType w:val="multilevel"/>
    <w:tmpl w:val="C4F0DDF4"/>
    <w:styleLink w:val="Normallist5"/>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9" w15:restartNumberingAfterBreak="0">
    <w:nsid w:val="556D6D2E"/>
    <w:multiLevelType w:val="hybridMultilevel"/>
    <w:tmpl w:val="6C3CB7C4"/>
    <w:lvl w:ilvl="0" w:tplc="8DE06896">
      <w:start w:val="1"/>
      <w:numFmt w:val="decimal"/>
      <w:lvlText w:val="%1 -"/>
      <w:lvlJc w:val="left"/>
      <w:pPr>
        <w:ind w:left="2474" w:hanging="360"/>
      </w:pPr>
      <w:rPr>
        <w:rFonts w:ascii="Traditional Arabic" w:hAnsi="Traditional Arabic" w:cs="Traditional Arabic" w:hint="default"/>
      </w:rPr>
    </w:lvl>
    <w:lvl w:ilvl="1" w:tplc="04090019" w:tentative="1">
      <w:start w:val="1"/>
      <w:numFmt w:val="lowerLetter"/>
      <w:lvlText w:val="%2."/>
      <w:lvlJc w:val="left"/>
      <w:pPr>
        <w:ind w:left="3194" w:hanging="360"/>
      </w:pPr>
    </w:lvl>
    <w:lvl w:ilvl="2" w:tplc="0409001B" w:tentative="1">
      <w:start w:val="1"/>
      <w:numFmt w:val="lowerRoman"/>
      <w:lvlText w:val="%3."/>
      <w:lvlJc w:val="right"/>
      <w:pPr>
        <w:ind w:left="3914" w:hanging="180"/>
      </w:pPr>
    </w:lvl>
    <w:lvl w:ilvl="3" w:tplc="0409000F" w:tentative="1">
      <w:start w:val="1"/>
      <w:numFmt w:val="decimal"/>
      <w:lvlText w:val="%4."/>
      <w:lvlJc w:val="left"/>
      <w:pPr>
        <w:ind w:left="4634" w:hanging="360"/>
      </w:pPr>
    </w:lvl>
    <w:lvl w:ilvl="4" w:tplc="04090019" w:tentative="1">
      <w:start w:val="1"/>
      <w:numFmt w:val="lowerLetter"/>
      <w:lvlText w:val="%5."/>
      <w:lvlJc w:val="left"/>
      <w:pPr>
        <w:ind w:left="5354" w:hanging="360"/>
      </w:pPr>
    </w:lvl>
    <w:lvl w:ilvl="5" w:tplc="0409001B" w:tentative="1">
      <w:start w:val="1"/>
      <w:numFmt w:val="lowerRoman"/>
      <w:lvlText w:val="%6."/>
      <w:lvlJc w:val="right"/>
      <w:pPr>
        <w:ind w:left="6074" w:hanging="180"/>
      </w:pPr>
    </w:lvl>
    <w:lvl w:ilvl="6" w:tplc="0409000F" w:tentative="1">
      <w:start w:val="1"/>
      <w:numFmt w:val="decimal"/>
      <w:lvlText w:val="%7."/>
      <w:lvlJc w:val="left"/>
      <w:pPr>
        <w:ind w:left="6794" w:hanging="360"/>
      </w:pPr>
    </w:lvl>
    <w:lvl w:ilvl="7" w:tplc="04090019" w:tentative="1">
      <w:start w:val="1"/>
      <w:numFmt w:val="lowerLetter"/>
      <w:lvlText w:val="%8."/>
      <w:lvlJc w:val="left"/>
      <w:pPr>
        <w:ind w:left="7514" w:hanging="360"/>
      </w:pPr>
    </w:lvl>
    <w:lvl w:ilvl="8" w:tplc="0409001B" w:tentative="1">
      <w:start w:val="1"/>
      <w:numFmt w:val="lowerRoman"/>
      <w:lvlText w:val="%9."/>
      <w:lvlJc w:val="right"/>
      <w:pPr>
        <w:ind w:left="8234" w:hanging="180"/>
      </w:pPr>
    </w:lvl>
  </w:abstractNum>
  <w:abstractNum w:abstractNumId="10" w15:restartNumberingAfterBreak="0">
    <w:nsid w:val="56774FDE"/>
    <w:multiLevelType w:val="hybridMultilevel"/>
    <w:tmpl w:val="53D482D0"/>
    <w:lvl w:ilvl="0" w:tplc="F348CD56">
      <w:start w:val="1"/>
      <w:numFmt w:val="decimal"/>
      <w:lvlText w:val="%1-"/>
      <w:lvlJc w:val="left"/>
      <w:pPr>
        <w:ind w:left="1854" w:hanging="360"/>
      </w:pPr>
      <w:rPr>
        <w:rFonts w:ascii="Traditional Arabic" w:hAnsi="Traditional Arabic" w:cs="Traditional Arabic" w:hint="default"/>
        <w:b w:val="0"/>
        <w:bCs w:val="0"/>
        <w:i w:val="0"/>
        <w:iCs w:val="0"/>
        <w:sz w:val="30"/>
        <w:szCs w:val="30"/>
        <w:lang w:val="en-US"/>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5E7338C1"/>
    <w:multiLevelType w:val="hybridMultilevel"/>
    <w:tmpl w:val="FF644ACE"/>
    <w:lvl w:ilvl="0" w:tplc="D9341756">
      <w:start w:val="5"/>
      <w:numFmt w:val="decimal"/>
      <w:lvlText w:val="%1-"/>
      <w:lvlJc w:val="left"/>
      <w:pPr>
        <w:ind w:left="1260" w:firstLine="0"/>
      </w:pPr>
      <w:rPr>
        <w:rFonts w:hAnsi="Arial Unicode MS" w:hint="default"/>
        <w:caps w:val="0"/>
        <w:smallCaps w:val="0"/>
        <w:strike w:val="0"/>
        <w:dstrike w:val="0"/>
        <w:outline w:val="0"/>
        <w:emboss w:val="0"/>
        <w:imprint w:val="0"/>
        <w:color w:val="00000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814B9F"/>
    <w:multiLevelType w:val="hybridMultilevel"/>
    <w:tmpl w:val="A11EAE28"/>
    <w:lvl w:ilvl="0" w:tplc="3F36786E">
      <w:start w:val="1"/>
      <w:numFmt w:val="arabicAbjad"/>
      <w:lvlText w:val="(%1)"/>
      <w:lvlJc w:val="left"/>
      <w:pPr>
        <w:ind w:left="1996" w:hanging="720"/>
      </w:pPr>
      <w:rPr>
        <w:rFonts w:hint="default"/>
      </w:rPr>
    </w:lvl>
    <w:lvl w:ilvl="1" w:tplc="04090019" w:tentative="1">
      <w:start w:val="1"/>
      <w:numFmt w:val="lowerLetter"/>
      <w:lvlText w:val="%2."/>
      <w:lvlJc w:val="left"/>
      <w:pPr>
        <w:ind w:left="2951" w:hanging="360"/>
      </w:pPr>
    </w:lvl>
    <w:lvl w:ilvl="2" w:tplc="0409001B" w:tentative="1">
      <w:start w:val="1"/>
      <w:numFmt w:val="lowerRoman"/>
      <w:lvlText w:val="%3."/>
      <w:lvlJc w:val="right"/>
      <w:pPr>
        <w:ind w:left="3671" w:hanging="180"/>
      </w:pPr>
    </w:lvl>
    <w:lvl w:ilvl="3" w:tplc="0409000F" w:tentative="1">
      <w:start w:val="1"/>
      <w:numFmt w:val="decimal"/>
      <w:lvlText w:val="%4."/>
      <w:lvlJc w:val="left"/>
      <w:pPr>
        <w:ind w:left="4391" w:hanging="360"/>
      </w:pPr>
    </w:lvl>
    <w:lvl w:ilvl="4" w:tplc="04090019" w:tentative="1">
      <w:start w:val="1"/>
      <w:numFmt w:val="lowerLetter"/>
      <w:lvlText w:val="%5."/>
      <w:lvlJc w:val="left"/>
      <w:pPr>
        <w:ind w:left="5111" w:hanging="360"/>
      </w:pPr>
    </w:lvl>
    <w:lvl w:ilvl="5" w:tplc="0409001B" w:tentative="1">
      <w:start w:val="1"/>
      <w:numFmt w:val="lowerRoman"/>
      <w:lvlText w:val="%6."/>
      <w:lvlJc w:val="right"/>
      <w:pPr>
        <w:ind w:left="5831" w:hanging="180"/>
      </w:pPr>
    </w:lvl>
    <w:lvl w:ilvl="6" w:tplc="0409000F" w:tentative="1">
      <w:start w:val="1"/>
      <w:numFmt w:val="decimal"/>
      <w:lvlText w:val="%7."/>
      <w:lvlJc w:val="left"/>
      <w:pPr>
        <w:ind w:left="6551" w:hanging="360"/>
      </w:pPr>
    </w:lvl>
    <w:lvl w:ilvl="7" w:tplc="04090019" w:tentative="1">
      <w:start w:val="1"/>
      <w:numFmt w:val="lowerLetter"/>
      <w:lvlText w:val="%8."/>
      <w:lvlJc w:val="left"/>
      <w:pPr>
        <w:ind w:left="7271" w:hanging="360"/>
      </w:pPr>
    </w:lvl>
    <w:lvl w:ilvl="8" w:tplc="0409001B" w:tentative="1">
      <w:start w:val="1"/>
      <w:numFmt w:val="lowerRoman"/>
      <w:lvlText w:val="%9."/>
      <w:lvlJc w:val="right"/>
      <w:pPr>
        <w:ind w:left="7991" w:hanging="180"/>
      </w:pPr>
    </w:lvl>
  </w:abstractNum>
  <w:abstractNum w:abstractNumId="13" w15:restartNumberingAfterBreak="0">
    <w:nsid w:val="658E3431"/>
    <w:multiLevelType w:val="hybridMultilevel"/>
    <w:tmpl w:val="48241D10"/>
    <w:numStyleLink w:val="Normallist4"/>
  </w:abstractNum>
  <w:abstractNum w:abstractNumId="14" w15:restartNumberingAfterBreak="0">
    <w:nsid w:val="6AB332CF"/>
    <w:multiLevelType w:val="hybridMultilevel"/>
    <w:tmpl w:val="6BDE8506"/>
    <w:lvl w:ilvl="0" w:tplc="B6FEC604">
      <w:start w:val="1"/>
      <w:numFmt w:val="arabicAbjad"/>
      <w:lvlText w:val="(%1)"/>
      <w:lvlJc w:val="left"/>
      <w:pPr>
        <w:ind w:left="3150" w:hanging="360"/>
      </w:pPr>
      <w:rPr>
        <w:rFonts w:hint="default"/>
        <w:b w:val="0"/>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15" w15:restartNumberingAfterBreak="0">
    <w:nsid w:val="6BD06ABD"/>
    <w:multiLevelType w:val="multilevel"/>
    <w:tmpl w:val="6F6872F2"/>
    <w:lvl w:ilvl="0">
      <w:start w:val="1"/>
      <w:numFmt w:val="decimal"/>
      <w:lvlText w:val="%1."/>
      <w:lvlJc w:val="left"/>
      <w:pPr>
        <w:tabs>
          <w:tab w:val="num" w:pos="1134"/>
        </w:tabs>
        <w:ind w:left="1247" w:firstLine="0"/>
      </w:pPr>
      <w:rPr>
        <w:rFonts w:hint="default"/>
      </w:rPr>
    </w:lvl>
    <w:lvl w:ilvl="1">
      <w:start w:val="1"/>
      <w:numFmt w:val="decimal"/>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6" w15:restartNumberingAfterBreak="0">
    <w:nsid w:val="6F2116D9"/>
    <w:multiLevelType w:val="hybridMultilevel"/>
    <w:tmpl w:val="F234794A"/>
    <w:lvl w:ilvl="0" w:tplc="A4782EB6">
      <w:start w:val="1"/>
      <w:numFmt w:val="decimal"/>
      <w:lvlText w:val="%1-"/>
      <w:lvlJc w:val="left"/>
      <w:pPr>
        <w:ind w:left="720" w:hanging="360"/>
      </w:pPr>
      <w:rPr>
        <w:rFonts w:ascii="Traditional Arabic" w:hAnsi="Traditional Arabic" w:cs="Traditional Arabic" w:hint="default"/>
        <w:b w:val="0"/>
        <w:bCs w:val="0"/>
        <w:i w:val="0"/>
        <w:iCs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2">
    <w:abstractNumId w:val="8"/>
  </w:num>
  <w:num w:numId="3">
    <w:abstractNumId w:val="8"/>
    <w:lvlOverride w:ilvl="0">
      <w:lvl w:ilvl="0">
        <w:start w:val="1"/>
        <w:numFmt w:val="decimal"/>
        <w:lvlText w:val="%1-"/>
        <w:lvlJc w:val="left"/>
        <w:pPr>
          <w:tabs>
            <w:tab w:val="num" w:pos="3998"/>
          </w:tabs>
          <w:ind w:left="4111" w:firstLine="0"/>
        </w:pPr>
        <w:rPr>
          <w:rFonts w:hint="default"/>
        </w:rPr>
      </w:lvl>
    </w:lvlOverride>
  </w:num>
  <w:num w:numId="4">
    <w:abstractNumId w:val="12"/>
  </w:num>
  <w:num w:numId="5">
    <w:abstractNumId w:val="3"/>
  </w:num>
  <w:num w:numId="6">
    <w:abstractNumId w:val="10"/>
  </w:num>
  <w:num w:numId="7">
    <w:abstractNumId w:val="2"/>
    <w:lvlOverride w:ilvl="0">
      <w:lvl w:ilvl="0" w:tplc="2000000F">
        <w:start w:val="1"/>
        <w:numFmt w:val="decimal"/>
        <w:lvlText w:val="%1-"/>
        <w:lvlJc w:val="left"/>
        <w:pPr>
          <w:ind w:left="720" w:hanging="360"/>
        </w:pPr>
      </w:lvl>
    </w:lvlOverride>
    <w:lvlOverride w:ilvl="1">
      <w:lvl w:ilvl="1" w:tplc="C44653FC">
        <w:start w:val="1"/>
        <w:numFmt w:val="lowerLetter"/>
        <w:lvlText w:val="(%2)"/>
        <w:lvlJc w:val="left"/>
        <w:pPr>
          <w:ind w:left="1440" w:hanging="360"/>
        </w:pPr>
        <w:rPr>
          <w:rFonts w:hint="default"/>
        </w:rPr>
      </w:lvl>
    </w:lvlOverride>
  </w:num>
  <w:num w:numId="8">
    <w:abstractNumId w:val="4"/>
    <w:lvlOverride w:ilvl="0">
      <w:lvl w:ilvl="0" w:tplc="B7967132">
        <w:start w:val="1"/>
        <w:numFmt w:val="decimal"/>
        <w:lvlText w:val="%1-"/>
        <w:lvlJc w:val="left"/>
        <w:pPr>
          <w:ind w:left="720" w:hanging="360"/>
        </w:pPr>
        <w:rPr>
          <w:i/>
          <w:iCs w:val="0"/>
        </w:rPr>
      </w:lvl>
    </w:lvlOverride>
  </w:num>
  <w:num w:numId="9">
    <w:abstractNumId w:val="16"/>
  </w:num>
  <w:num w:numId="10">
    <w:abstractNumId w:val="14"/>
  </w:num>
  <w:num w:numId="11">
    <w:abstractNumId w:val="1"/>
  </w:num>
  <w:num w:numId="12">
    <w:abstractNumId w:val="9"/>
  </w:num>
  <w:num w:numId="13">
    <w:abstractNumId w:val="6"/>
    <w:lvlOverride w:ilvl="0">
      <w:lvl w:ilvl="0" w:tplc="62001DBA">
        <w:start w:val="1"/>
        <w:numFmt w:val="decimal"/>
        <w:lvlText w:val="%1-"/>
        <w:lvlJc w:val="left"/>
        <w:pPr>
          <w:ind w:left="720" w:hanging="360"/>
        </w:pPr>
        <w:rPr>
          <w:rFonts w:ascii="Traditional Arabic" w:hAnsi="Traditional Arabic" w:cs="Traditional Arabic" w:hint="default"/>
          <w:sz w:val="30"/>
          <w:szCs w:val="30"/>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14">
    <w:abstractNumId w:val="13"/>
    <w:lvlOverride w:ilvl="0">
      <w:lvl w:ilvl="0" w:tplc="13FABF64">
        <w:start w:val="1"/>
        <w:numFmt w:val="decimal"/>
        <w:lvlText w:val="%1-"/>
        <w:lvlJc w:val="left"/>
        <w:pPr>
          <w:ind w:left="1247" w:firstLine="0"/>
        </w:pPr>
        <w:rPr>
          <w:rFonts w:cs="Traditional Arabic" w:hint="default"/>
          <w:b w:val="0"/>
          <w:bCs w:val="0"/>
          <w:i w:val="0"/>
          <w:iCs w:val="0"/>
          <w:caps w:val="0"/>
          <w:strike w:val="0"/>
          <w:dstrike w:val="0"/>
          <w:outline w:val="0"/>
          <w:emboss w:val="0"/>
          <w:imprint w:val="0"/>
          <w:color w:val="000000"/>
          <w:spacing w:val="0"/>
          <w:w w:val="100"/>
          <w:kern w:val="0"/>
          <w:position w:val="0"/>
          <w:szCs w:val="30"/>
          <w:vertAlign w:val="baseline"/>
        </w:rPr>
      </w:lvl>
    </w:lvlOverride>
    <w:lvlOverride w:ilvl="1">
      <w:lvl w:ilvl="1" w:tplc="0B16A004" w:tentative="1">
        <w:start w:val="1"/>
        <w:numFmt w:val="lowerLetter"/>
        <w:lvlText w:val="%2."/>
        <w:lvlJc w:val="left"/>
        <w:pPr>
          <w:ind w:left="1440" w:hanging="360"/>
        </w:pPr>
      </w:lvl>
    </w:lvlOverride>
    <w:lvlOverride w:ilvl="2">
      <w:lvl w:ilvl="2" w:tplc="5D1460EA" w:tentative="1">
        <w:start w:val="1"/>
        <w:numFmt w:val="lowerRoman"/>
        <w:lvlText w:val="%3."/>
        <w:lvlJc w:val="right"/>
        <w:pPr>
          <w:ind w:left="2160" w:hanging="180"/>
        </w:pPr>
      </w:lvl>
    </w:lvlOverride>
    <w:lvlOverride w:ilvl="3">
      <w:lvl w:ilvl="3" w:tplc="4726DE06" w:tentative="1">
        <w:start w:val="1"/>
        <w:numFmt w:val="decimal"/>
        <w:lvlText w:val="%4."/>
        <w:lvlJc w:val="left"/>
        <w:pPr>
          <w:ind w:left="2880" w:hanging="360"/>
        </w:pPr>
      </w:lvl>
    </w:lvlOverride>
    <w:lvlOverride w:ilvl="4">
      <w:lvl w:ilvl="4" w:tplc="4F223EEA" w:tentative="1">
        <w:start w:val="1"/>
        <w:numFmt w:val="lowerLetter"/>
        <w:lvlText w:val="%5."/>
        <w:lvlJc w:val="left"/>
        <w:pPr>
          <w:ind w:left="3600" w:hanging="360"/>
        </w:pPr>
      </w:lvl>
    </w:lvlOverride>
    <w:lvlOverride w:ilvl="5">
      <w:lvl w:ilvl="5" w:tplc="F44EDCF8" w:tentative="1">
        <w:start w:val="1"/>
        <w:numFmt w:val="lowerRoman"/>
        <w:lvlText w:val="%6."/>
        <w:lvlJc w:val="right"/>
        <w:pPr>
          <w:ind w:left="4320" w:hanging="180"/>
        </w:pPr>
      </w:lvl>
    </w:lvlOverride>
    <w:lvlOverride w:ilvl="6">
      <w:lvl w:ilvl="6" w:tplc="D74060D4" w:tentative="1">
        <w:start w:val="1"/>
        <w:numFmt w:val="decimal"/>
        <w:lvlText w:val="%7."/>
        <w:lvlJc w:val="left"/>
        <w:pPr>
          <w:ind w:left="5040" w:hanging="360"/>
        </w:pPr>
      </w:lvl>
    </w:lvlOverride>
    <w:lvlOverride w:ilvl="7">
      <w:lvl w:ilvl="7" w:tplc="211A6294" w:tentative="1">
        <w:start w:val="1"/>
        <w:numFmt w:val="lowerLetter"/>
        <w:lvlText w:val="%8."/>
        <w:lvlJc w:val="left"/>
        <w:pPr>
          <w:ind w:left="5760" w:hanging="360"/>
        </w:pPr>
      </w:lvl>
    </w:lvlOverride>
    <w:lvlOverride w:ilvl="8">
      <w:lvl w:ilvl="8" w:tplc="22CC655E" w:tentative="1">
        <w:start w:val="1"/>
        <w:numFmt w:val="lowerRoman"/>
        <w:lvlText w:val="%9."/>
        <w:lvlJc w:val="right"/>
        <w:pPr>
          <w:ind w:left="6480" w:hanging="180"/>
        </w:pPr>
      </w:lvl>
    </w:lvlOverride>
  </w:num>
  <w:num w:numId="15">
    <w:abstractNumId w:val="13"/>
    <w:lvlOverride w:ilvl="0">
      <w:lvl w:ilvl="0" w:tplc="13FABF64">
        <w:start w:val="1"/>
        <w:numFmt w:val="decimal"/>
        <w:lvlText w:val="%1-"/>
        <w:lvlJc w:val="left"/>
        <w:pPr>
          <w:tabs>
            <w:tab w:val="left" w:pos="534"/>
            <w:tab w:val="left" w:pos="1134"/>
            <w:tab w:val="left" w:pos="1247"/>
            <w:tab w:val="num" w:pos="1814"/>
            <w:tab w:val="left" w:pos="1871"/>
            <w:tab w:val="left" w:pos="2381"/>
            <w:tab w:val="left" w:pos="2948"/>
            <w:tab w:val="left" w:pos="3119"/>
            <w:tab w:val="left" w:pos="3515"/>
          </w:tabs>
          <w:ind w:left="126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0B16A004">
        <w:start w:val="1"/>
        <w:numFmt w:val="lowerLetter"/>
        <w:lvlText w:val="(%2)"/>
        <w:lvlJc w:val="left"/>
        <w:pPr>
          <w:tabs>
            <w:tab w:val="left" w:pos="624"/>
            <w:tab w:val="left" w:pos="1134"/>
            <w:tab w:val="left" w:pos="1247"/>
            <w:tab w:val="left" w:pos="1814"/>
            <w:tab w:val="left" w:pos="1871"/>
            <w:tab w:val="num" w:pos="2381"/>
            <w:tab w:val="left" w:pos="2495"/>
            <w:tab w:val="left" w:pos="2948"/>
            <w:tab w:val="left" w:pos="3119"/>
            <w:tab w:val="left" w:pos="3515"/>
          </w:tabs>
          <w:ind w:left="1247" w:firstLine="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5D1460EA">
        <w:start w:val="1"/>
        <w:numFmt w:val="lowerRoman"/>
        <w:suff w:val="nothing"/>
        <w:lvlText w:val="(%3)"/>
        <w:lvlJc w:val="left"/>
        <w:pPr>
          <w:tabs>
            <w:tab w:val="left" w:pos="624"/>
            <w:tab w:val="left" w:pos="1134"/>
            <w:tab w:val="left" w:pos="1247"/>
            <w:tab w:val="left" w:pos="1814"/>
            <w:tab w:val="left" w:pos="1871"/>
            <w:tab w:val="left" w:pos="2381"/>
            <w:tab w:val="left" w:pos="2495"/>
            <w:tab w:val="left" w:pos="2948"/>
            <w:tab w:val="left" w:pos="3119"/>
            <w:tab w:val="left" w:pos="3515"/>
          </w:tabs>
          <w:ind w:left="2495" w:firstLine="10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4726DE06">
        <w:start w:val="1"/>
        <w:numFmt w:val="lowerLetter"/>
        <w:lvlText w:val="%4."/>
        <w:lvlJc w:val="left"/>
        <w:pPr>
          <w:tabs>
            <w:tab w:val="left" w:pos="624"/>
            <w:tab w:val="left" w:pos="1134"/>
            <w:tab w:val="left" w:pos="1247"/>
            <w:tab w:val="left" w:pos="1814"/>
            <w:tab w:val="left" w:pos="1871"/>
            <w:tab w:val="left" w:pos="2381"/>
            <w:tab w:val="left" w:pos="2495"/>
            <w:tab w:val="left" w:pos="2948"/>
            <w:tab w:val="left" w:pos="3119"/>
            <w:tab w:val="left" w:pos="3515"/>
            <w:tab w:val="num" w:pos="4253"/>
          </w:tabs>
          <w:ind w:left="3119" w:firstLine="96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F223EEA">
        <w:start w:val="1"/>
        <w:numFmt w:val="lowerRoman"/>
        <w:lvlText w:val="%5."/>
        <w:lvlJc w:val="left"/>
        <w:pPr>
          <w:tabs>
            <w:tab w:val="left" w:pos="624"/>
            <w:tab w:val="left" w:pos="1134"/>
            <w:tab w:val="left" w:pos="1247"/>
            <w:tab w:val="left" w:pos="1814"/>
            <w:tab w:val="left" w:pos="1871"/>
            <w:tab w:val="left" w:pos="2381"/>
            <w:tab w:val="left" w:pos="2495"/>
            <w:tab w:val="left" w:pos="2948"/>
            <w:tab w:val="left" w:pos="3119"/>
            <w:tab w:val="left" w:pos="3515"/>
            <w:tab w:val="num" w:pos="5216"/>
          </w:tabs>
          <w:ind w:left="4082" w:firstLine="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F44EDCF8">
        <w:start w:val="1"/>
        <w:numFmt w:val="lowerRoman"/>
        <w:lvlText w:val="%6."/>
        <w:lvlJc w:val="left"/>
        <w:pPr>
          <w:tabs>
            <w:tab w:val="left" w:pos="624"/>
            <w:tab w:val="left" w:pos="1134"/>
            <w:tab w:val="left" w:pos="1247"/>
            <w:tab w:val="left" w:pos="1814"/>
            <w:tab w:val="left" w:pos="1871"/>
            <w:tab w:val="left" w:pos="2381"/>
            <w:tab w:val="left" w:pos="2495"/>
            <w:tab w:val="left" w:pos="2948"/>
            <w:tab w:val="left" w:pos="3119"/>
            <w:tab w:val="left" w:pos="3515"/>
            <w:tab w:val="num" w:pos="8969"/>
          </w:tabs>
          <w:ind w:left="7835" w:firstLine="8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D74060D4">
        <w:start w:val="1"/>
        <w:numFmt w:val="decimal"/>
        <w:lvlText w:val="%7."/>
        <w:lvlJc w:val="left"/>
        <w:pPr>
          <w:tabs>
            <w:tab w:val="left" w:pos="624"/>
            <w:tab w:val="left" w:pos="1134"/>
            <w:tab w:val="left" w:pos="1247"/>
            <w:tab w:val="left" w:pos="1814"/>
            <w:tab w:val="left" w:pos="1871"/>
            <w:tab w:val="left" w:pos="2381"/>
            <w:tab w:val="left" w:pos="2495"/>
            <w:tab w:val="left" w:pos="2948"/>
            <w:tab w:val="left" w:pos="3119"/>
            <w:tab w:val="left" w:pos="3515"/>
            <w:tab w:val="num" w:pos="9689"/>
          </w:tabs>
          <w:ind w:left="8555" w:firstLine="77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11A6294">
        <w:start w:val="1"/>
        <w:numFmt w:val="lowerLetter"/>
        <w:lvlText w:val="%8."/>
        <w:lvlJc w:val="left"/>
        <w:pPr>
          <w:tabs>
            <w:tab w:val="left" w:pos="624"/>
            <w:tab w:val="left" w:pos="1134"/>
            <w:tab w:val="left" w:pos="1247"/>
            <w:tab w:val="left" w:pos="1814"/>
            <w:tab w:val="left" w:pos="1871"/>
            <w:tab w:val="left" w:pos="2381"/>
            <w:tab w:val="left" w:pos="2495"/>
            <w:tab w:val="left" w:pos="2948"/>
            <w:tab w:val="left" w:pos="3119"/>
            <w:tab w:val="left" w:pos="3515"/>
            <w:tab w:val="num" w:pos="10409"/>
          </w:tabs>
          <w:ind w:left="9275" w:firstLine="77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22CC655E">
        <w:start w:val="1"/>
        <w:numFmt w:val="lowerRoman"/>
        <w:lvlText w:val="%9."/>
        <w:lvlJc w:val="left"/>
        <w:pPr>
          <w:tabs>
            <w:tab w:val="left" w:pos="624"/>
            <w:tab w:val="left" w:pos="1134"/>
            <w:tab w:val="left" w:pos="1247"/>
            <w:tab w:val="left" w:pos="1814"/>
            <w:tab w:val="left" w:pos="1871"/>
            <w:tab w:val="left" w:pos="2381"/>
            <w:tab w:val="left" w:pos="2495"/>
            <w:tab w:val="left" w:pos="2948"/>
            <w:tab w:val="left" w:pos="3119"/>
            <w:tab w:val="left" w:pos="3515"/>
            <w:tab w:val="num" w:pos="11129"/>
          </w:tabs>
          <w:ind w:left="9995" w:firstLine="8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6">
    <w:abstractNumId w:val="11"/>
  </w:num>
  <w:num w:numId="17">
    <w:abstractNumId w:val="5"/>
  </w:num>
  <w:num w:numId="18">
    <w:abstractNumId w:val="7"/>
  </w:num>
  <w:num w:numId="19">
    <w:abstractNumId w:val="8"/>
    <w:lvlOverride w:ilvl="0">
      <w:startOverride w:val="1"/>
      <w:lvl w:ilvl="0">
        <w:start w:val="1"/>
        <w:numFmt w:val="decimal"/>
        <w:lvlText w:val="%1-"/>
        <w:lvlJc w:val="left"/>
        <w:pPr>
          <w:tabs>
            <w:tab w:val="num" w:pos="1134"/>
          </w:tabs>
          <w:ind w:left="1247" w:firstLine="0"/>
        </w:pPr>
        <w:rPr>
          <w:rFonts w:hint="default"/>
          <w:b w:val="0"/>
          <w:bCs w:val="0"/>
          <w:i w:val="0"/>
          <w:strike w:val="0"/>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20">
    <w:abstractNumId w:val="8"/>
    <w:lvlOverride w:ilvl="0">
      <w:startOverride w:val="1"/>
      <w:lvl w:ilvl="0">
        <w:start w:val="1"/>
        <w:numFmt w:val="decimal"/>
        <w:lvlText w:val="%1-"/>
        <w:lvlJc w:val="left"/>
        <w:pPr>
          <w:tabs>
            <w:tab w:val="num" w:pos="1134"/>
          </w:tabs>
          <w:ind w:left="1247" w:firstLine="0"/>
        </w:pPr>
        <w:rPr>
          <w:rFonts w:hint="default"/>
          <w:i w:val="0"/>
          <w:strike w:val="0"/>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21">
    <w:abstractNumId w:val="15"/>
    <w:lvlOverride w:ilvl="0">
      <w:lvl w:ilvl="0">
        <w:start w:val="1"/>
        <w:numFmt w:val="decimal"/>
        <w:lvlText w:val="%1-"/>
        <w:lvlJc w:val="left"/>
        <w:pPr>
          <w:tabs>
            <w:tab w:val="num" w:pos="1134"/>
          </w:tabs>
          <w:ind w:left="1247" w:firstLine="0"/>
        </w:pPr>
        <w:rPr>
          <w:rFonts w:hint="default"/>
          <w:b w:val="0"/>
          <w:bCs w:val="0"/>
          <w:sz w:val="30"/>
          <w:szCs w:val="30"/>
        </w:rPr>
      </w:lvl>
    </w:lvlOverride>
  </w:num>
  <w:num w:numId="22">
    <w:abstractNumId w:val="8"/>
    <w:lvlOverride w:ilvl="0">
      <w:startOverride w:val="6"/>
      <w:lvl w:ilvl="0">
        <w:start w:val="6"/>
        <w:numFmt w:val="decimal"/>
        <w:lvlText w:val="%1-"/>
        <w:lvlJc w:val="left"/>
        <w:pPr>
          <w:tabs>
            <w:tab w:val="num" w:pos="1163"/>
          </w:tabs>
          <w:ind w:left="1276" w:firstLine="0"/>
        </w:pPr>
        <w:rPr>
          <w:rFonts w:hint="default"/>
          <w:i w:val="0"/>
          <w:strike w:val="0"/>
        </w:rPr>
      </w:lvl>
    </w:lvlOverride>
  </w:num>
  <w:num w:numId="23">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71"/>
  <w:drawingGridVerticalSpacing w:val="233"/>
  <w:displayHorizontalDrawingGridEvery w:val="0"/>
  <w:noPunctuationKerning/>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02B"/>
    <w:rsid w:val="00000ADF"/>
    <w:rsid w:val="000040EB"/>
    <w:rsid w:val="00012E56"/>
    <w:rsid w:val="0001354C"/>
    <w:rsid w:val="00020FD9"/>
    <w:rsid w:val="0002149D"/>
    <w:rsid w:val="000242CB"/>
    <w:rsid w:val="00024566"/>
    <w:rsid w:val="00024D2B"/>
    <w:rsid w:val="00026893"/>
    <w:rsid w:val="0002786B"/>
    <w:rsid w:val="000303CF"/>
    <w:rsid w:val="00030D8D"/>
    <w:rsid w:val="0003131F"/>
    <w:rsid w:val="00031AF0"/>
    <w:rsid w:val="00032DE8"/>
    <w:rsid w:val="00033595"/>
    <w:rsid w:val="00033A5C"/>
    <w:rsid w:val="00035449"/>
    <w:rsid w:val="00037D52"/>
    <w:rsid w:val="0004010A"/>
    <w:rsid w:val="00042E63"/>
    <w:rsid w:val="0004536E"/>
    <w:rsid w:val="00047340"/>
    <w:rsid w:val="000500EB"/>
    <w:rsid w:val="00051665"/>
    <w:rsid w:val="00053D40"/>
    <w:rsid w:val="00055002"/>
    <w:rsid w:val="00055C55"/>
    <w:rsid w:val="00057512"/>
    <w:rsid w:val="0006021A"/>
    <w:rsid w:val="000668FE"/>
    <w:rsid w:val="00071F69"/>
    <w:rsid w:val="000722C1"/>
    <w:rsid w:val="00072887"/>
    <w:rsid w:val="00072F5D"/>
    <w:rsid w:val="0008088A"/>
    <w:rsid w:val="0008099F"/>
    <w:rsid w:val="000844F9"/>
    <w:rsid w:val="00093647"/>
    <w:rsid w:val="00093B4C"/>
    <w:rsid w:val="000946EB"/>
    <w:rsid w:val="000A33B7"/>
    <w:rsid w:val="000A5C67"/>
    <w:rsid w:val="000A5F46"/>
    <w:rsid w:val="000A7260"/>
    <w:rsid w:val="000B036C"/>
    <w:rsid w:val="000B1AA7"/>
    <w:rsid w:val="000B3148"/>
    <w:rsid w:val="000B41E8"/>
    <w:rsid w:val="000B75F5"/>
    <w:rsid w:val="000C042E"/>
    <w:rsid w:val="000C06B3"/>
    <w:rsid w:val="000C6AF1"/>
    <w:rsid w:val="000C7096"/>
    <w:rsid w:val="000C72D5"/>
    <w:rsid w:val="000D00E0"/>
    <w:rsid w:val="000D0364"/>
    <w:rsid w:val="000D14B1"/>
    <w:rsid w:val="000D368C"/>
    <w:rsid w:val="000D3C25"/>
    <w:rsid w:val="000D47C4"/>
    <w:rsid w:val="000D4A62"/>
    <w:rsid w:val="000D65F0"/>
    <w:rsid w:val="000D775A"/>
    <w:rsid w:val="000E3540"/>
    <w:rsid w:val="000E3644"/>
    <w:rsid w:val="000F083C"/>
    <w:rsid w:val="000F39C0"/>
    <w:rsid w:val="000F5587"/>
    <w:rsid w:val="000F712A"/>
    <w:rsid w:val="00102A11"/>
    <w:rsid w:val="00111DDA"/>
    <w:rsid w:val="001122CD"/>
    <w:rsid w:val="00114D54"/>
    <w:rsid w:val="00115715"/>
    <w:rsid w:val="0012040B"/>
    <w:rsid w:val="00121BB5"/>
    <w:rsid w:val="001223A2"/>
    <w:rsid w:val="00123651"/>
    <w:rsid w:val="00124CC4"/>
    <w:rsid w:val="001273E7"/>
    <w:rsid w:val="00131860"/>
    <w:rsid w:val="00131CE1"/>
    <w:rsid w:val="00133DFE"/>
    <w:rsid w:val="00134CAC"/>
    <w:rsid w:val="00134EB1"/>
    <w:rsid w:val="00136110"/>
    <w:rsid w:val="001367EA"/>
    <w:rsid w:val="001368B8"/>
    <w:rsid w:val="00141EEF"/>
    <w:rsid w:val="0014278C"/>
    <w:rsid w:val="00142EFE"/>
    <w:rsid w:val="0014334F"/>
    <w:rsid w:val="00143EB4"/>
    <w:rsid w:val="00144204"/>
    <w:rsid w:val="00146C53"/>
    <w:rsid w:val="0014704F"/>
    <w:rsid w:val="00147A4C"/>
    <w:rsid w:val="00150334"/>
    <w:rsid w:val="00153644"/>
    <w:rsid w:val="001536B1"/>
    <w:rsid w:val="00153B57"/>
    <w:rsid w:val="001540E9"/>
    <w:rsid w:val="00154323"/>
    <w:rsid w:val="00154CC2"/>
    <w:rsid w:val="00157B75"/>
    <w:rsid w:val="00162E8C"/>
    <w:rsid w:val="001640DB"/>
    <w:rsid w:val="00164A3F"/>
    <w:rsid w:val="00165BE3"/>
    <w:rsid w:val="00171858"/>
    <w:rsid w:val="00172527"/>
    <w:rsid w:val="001725D2"/>
    <w:rsid w:val="0017427B"/>
    <w:rsid w:val="00174BBC"/>
    <w:rsid w:val="00176734"/>
    <w:rsid w:val="00177C0C"/>
    <w:rsid w:val="0018056D"/>
    <w:rsid w:val="001841AD"/>
    <w:rsid w:val="001844E3"/>
    <w:rsid w:val="00184F5E"/>
    <w:rsid w:val="001863FF"/>
    <w:rsid w:val="00186DE2"/>
    <w:rsid w:val="00187C11"/>
    <w:rsid w:val="00194DE8"/>
    <w:rsid w:val="00196905"/>
    <w:rsid w:val="00197A69"/>
    <w:rsid w:val="001A0F83"/>
    <w:rsid w:val="001A494E"/>
    <w:rsid w:val="001A5C63"/>
    <w:rsid w:val="001A6258"/>
    <w:rsid w:val="001B03D9"/>
    <w:rsid w:val="001B6E32"/>
    <w:rsid w:val="001C18AE"/>
    <w:rsid w:val="001C1DD1"/>
    <w:rsid w:val="001C513F"/>
    <w:rsid w:val="001C561C"/>
    <w:rsid w:val="001C5F1E"/>
    <w:rsid w:val="001D2320"/>
    <w:rsid w:val="001D29E0"/>
    <w:rsid w:val="001D2B0C"/>
    <w:rsid w:val="001D2B48"/>
    <w:rsid w:val="001D3A25"/>
    <w:rsid w:val="001D5674"/>
    <w:rsid w:val="001D6BA5"/>
    <w:rsid w:val="001D718C"/>
    <w:rsid w:val="001D7A4F"/>
    <w:rsid w:val="001E1443"/>
    <w:rsid w:val="001E2FCA"/>
    <w:rsid w:val="001E4795"/>
    <w:rsid w:val="001E69C5"/>
    <w:rsid w:val="001E6E19"/>
    <w:rsid w:val="001E6E8E"/>
    <w:rsid w:val="001E72E3"/>
    <w:rsid w:val="001F0C9C"/>
    <w:rsid w:val="001F171C"/>
    <w:rsid w:val="001F327E"/>
    <w:rsid w:val="001F390D"/>
    <w:rsid w:val="001F72AB"/>
    <w:rsid w:val="001F7386"/>
    <w:rsid w:val="00203DBA"/>
    <w:rsid w:val="002079F8"/>
    <w:rsid w:val="00210C76"/>
    <w:rsid w:val="00213ABF"/>
    <w:rsid w:val="002300EA"/>
    <w:rsid w:val="0023160B"/>
    <w:rsid w:val="002323CD"/>
    <w:rsid w:val="00232F38"/>
    <w:rsid w:val="002361BF"/>
    <w:rsid w:val="00240CAE"/>
    <w:rsid w:val="00245E34"/>
    <w:rsid w:val="00252CB4"/>
    <w:rsid w:val="00252FE5"/>
    <w:rsid w:val="002530FE"/>
    <w:rsid w:val="002544E1"/>
    <w:rsid w:val="002557D6"/>
    <w:rsid w:val="00255F00"/>
    <w:rsid w:val="00257F2C"/>
    <w:rsid w:val="00260A65"/>
    <w:rsid w:val="00260C3B"/>
    <w:rsid w:val="00261436"/>
    <w:rsid w:val="00261451"/>
    <w:rsid w:val="00267B64"/>
    <w:rsid w:val="00267DA8"/>
    <w:rsid w:val="00267E5F"/>
    <w:rsid w:val="0027071F"/>
    <w:rsid w:val="00272827"/>
    <w:rsid w:val="00276330"/>
    <w:rsid w:val="002772B3"/>
    <w:rsid w:val="00277FCB"/>
    <w:rsid w:val="00283198"/>
    <w:rsid w:val="00286285"/>
    <w:rsid w:val="00291EAE"/>
    <w:rsid w:val="00295F25"/>
    <w:rsid w:val="002962A4"/>
    <w:rsid w:val="00296F80"/>
    <w:rsid w:val="002A02C9"/>
    <w:rsid w:val="002A2BDE"/>
    <w:rsid w:val="002A6C2C"/>
    <w:rsid w:val="002B0408"/>
    <w:rsid w:val="002B1468"/>
    <w:rsid w:val="002B14DB"/>
    <w:rsid w:val="002B296A"/>
    <w:rsid w:val="002B2A9D"/>
    <w:rsid w:val="002B503E"/>
    <w:rsid w:val="002C1EE1"/>
    <w:rsid w:val="002C2F7A"/>
    <w:rsid w:val="002C46F7"/>
    <w:rsid w:val="002C60AD"/>
    <w:rsid w:val="002D07C5"/>
    <w:rsid w:val="002D0837"/>
    <w:rsid w:val="002D4852"/>
    <w:rsid w:val="002D57DB"/>
    <w:rsid w:val="002E148E"/>
    <w:rsid w:val="002E2C7E"/>
    <w:rsid w:val="002E3F9E"/>
    <w:rsid w:val="002E56C2"/>
    <w:rsid w:val="002E61CA"/>
    <w:rsid w:val="002E7390"/>
    <w:rsid w:val="002F11C2"/>
    <w:rsid w:val="002F36BE"/>
    <w:rsid w:val="002F3F61"/>
    <w:rsid w:val="002F74A0"/>
    <w:rsid w:val="00304FAF"/>
    <w:rsid w:val="00306618"/>
    <w:rsid w:val="00310BFE"/>
    <w:rsid w:val="003110DD"/>
    <w:rsid w:val="00311A67"/>
    <w:rsid w:val="0031448B"/>
    <w:rsid w:val="00314BB9"/>
    <w:rsid w:val="003159A9"/>
    <w:rsid w:val="00317E61"/>
    <w:rsid w:val="00317EFB"/>
    <w:rsid w:val="003209E8"/>
    <w:rsid w:val="00322B6B"/>
    <w:rsid w:val="00323929"/>
    <w:rsid w:val="00325F54"/>
    <w:rsid w:val="00326358"/>
    <w:rsid w:val="00326392"/>
    <w:rsid w:val="00326CB7"/>
    <w:rsid w:val="00334B6A"/>
    <w:rsid w:val="0034367F"/>
    <w:rsid w:val="003501E1"/>
    <w:rsid w:val="003511A7"/>
    <w:rsid w:val="00351FDC"/>
    <w:rsid w:val="003553DB"/>
    <w:rsid w:val="00361422"/>
    <w:rsid w:val="0036154E"/>
    <w:rsid w:val="0036250E"/>
    <w:rsid w:val="00364886"/>
    <w:rsid w:val="00365443"/>
    <w:rsid w:val="003664EF"/>
    <w:rsid w:val="00371253"/>
    <w:rsid w:val="00371C4F"/>
    <w:rsid w:val="00375C36"/>
    <w:rsid w:val="00376B68"/>
    <w:rsid w:val="00380683"/>
    <w:rsid w:val="00380E72"/>
    <w:rsid w:val="003821A4"/>
    <w:rsid w:val="0038322E"/>
    <w:rsid w:val="0038424F"/>
    <w:rsid w:val="0038442C"/>
    <w:rsid w:val="00384B8A"/>
    <w:rsid w:val="00386BD3"/>
    <w:rsid w:val="003902E9"/>
    <w:rsid w:val="00390CD8"/>
    <w:rsid w:val="003923ED"/>
    <w:rsid w:val="00393CE8"/>
    <w:rsid w:val="0039486A"/>
    <w:rsid w:val="00395259"/>
    <w:rsid w:val="00397363"/>
    <w:rsid w:val="003A5F5E"/>
    <w:rsid w:val="003B1437"/>
    <w:rsid w:val="003B507C"/>
    <w:rsid w:val="003B5B33"/>
    <w:rsid w:val="003B78A4"/>
    <w:rsid w:val="003C0A06"/>
    <w:rsid w:val="003C0AD2"/>
    <w:rsid w:val="003C3E04"/>
    <w:rsid w:val="003C42E1"/>
    <w:rsid w:val="003C5069"/>
    <w:rsid w:val="003C5860"/>
    <w:rsid w:val="003C6409"/>
    <w:rsid w:val="003C6718"/>
    <w:rsid w:val="003D2A72"/>
    <w:rsid w:val="003D355A"/>
    <w:rsid w:val="003E0E95"/>
    <w:rsid w:val="003E0EC7"/>
    <w:rsid w:val="003E1210"/>
    <w:rsid w:val="003E2351"/>
    <w:rsid w:val="003E4E41"/>
    <w:rsid w:val="003E6AC3"/>
    <w:rsid w:val="003E77E2"/>
    <w:rsid w:val="003F310A"/>
    <w:rsid w:val="003F6450"/>
    <w:rsid w:val="003F77FF"/>
    <w:rsid w:val="004012C9"/>
    <w:rsid w:val="0040218B"/>
    <w:rsid w:val="00403B93"/>
    <w:rsid w:val="00405118"/>
    <w:rsid w:val="00405211"/>
    <w:rsid w:val="00410226"/>
    <w:rsid w:val="004112CD"/>
    <w:rsid w:val="00416AF7"/>
    <w:rsid w:val="0042042E"/>
    <w:rsid w:val="00420706"/>
    <w:rsid w:val="00423AEE"/>
    <w:rsid w:val="00425679"/>
    <w:rsid w:val="00426552"/>
    <w:rsid w:val="00426A9A"/>
    <w:rsid w:val="004313A3"/>
    <w:rsid w:val="0043781E"/>
    <w:rsid w:val="0044001D"/>
    <w:rsid w:val="004479F5"/>
    <w:rsid w:val="00451081"/>
    <w:rsid w:val="004518D8"/>
    <w:rsid w:val="00451ABD"/>
    <w:rsid w:val="004524AB"/>
    <w:rsid w:val="00452B9C"/>
    <w:rsid w:val="0045394B"/>
    <w:rsid w:val="004547E5"/>
    <w:rsid w:val="00455421"/>
    <w:rsid w:val="004606CA"/>
    <w:rsid w:val="00461645"/>
    <w:rsid w:val="00462ACF"/>
    <w:rsid w:val="00465255"/>
    <w:rsid w:val="0046594C"/>
    <w:rsid w:val="00472C66"/>
    <w:rsid w:val="0047425F"/>
    <w:rsid w:val="00477DA3"/>
    <w:rsid w:val="0048228E"/>
    <w:rsid w:val="00485260"/>
    <w:rsid w:val="004916B5"/>
    <w:rsid w:val="0049251D"/>
    <w:rsid w:val="00494F14"/>
    <w:rsid w:val="00495361"/>
    <w:rsid w:val="004A1FC4"/>
    <w:rsid w:val="004A3BB4"/>
    <w:rsid w:val="004A3E0B"/>
    <w:rsid w:val="004B0A17"/>
    <w:rsid w:val="004B39FF"/>
    <w:rsid w:val="004B56E3"/>
    <w:rsid w:val="004B6E8E"/>
    <w:rsid w:val="004B70F7"/>
    <w:rsid w:val="004B786C"/>
    <w:rsid w:val="004B7F1F"/>
    <w:rsid w:val="004C37FA"/>
    <w:rsid w:val="004D0F9A"/>
    <w:rsid w:val="004D2B12"/>
    <w:rsid w:val="004D4623"/>
    <w:rsid w:val="004D567F"/>
    <w:rsid w:val="004D56FA"/>
    <w:rsid w:val="004E001B"/>
    <w:rsid w:val="004E1EDE"/>
    <w:rsid w:val="004E4EB2"/>
    <w:rsid w:val="004E5370"/>
    <w:rsid w:val="004E7B30"/>
    <w:rsid w:val="004E7EEA"/>
    <w:rsid w:val="004F26CB"/>
    <w:rsid w:val="004F40FD"/>
    <w:rsid w:val="004F6390"/>
    <w:rsid w:val="0050073D"/>
    <w:rsid w:val="00500F9E"/>
    <w:rsid w:val="005023EE"/>
    <w:rsid w:val="005034F7"/>
    <w:rsid w:val="0050461C"/>
    <w:rsid w:val="005046F1"/>
    <w:rsid w:val="00505660"/>
    <w:rsid w:val="005064C3"/>
    <w:rsid w:val="00507E10"/>
    <w:rsid w:val="00514296"/>
    <w:rsid w:val="00515520"/>
    <w:rsid w:val="00516F5A"/>
    <w:rsid w:val="00520AFE"/>
    <w:rsid w:val="005211DE"/>
    <w:rsid w:val="005218FE"/>
    <w:rsid w:val="00522932"/>
    <w:rsid w:val="005234DB"/>
    <w:rsid w:val="005240E7"/>
    <w:rsid w:val="00526071"/>
    <w:rsid w:val="00530F46"/>
    <w:rsid w:val="00533EC1"/>
    <w:rsid w:val="00535D0E"/>
    <w:rsid w:val="00535DCC"/>
    <w:rsid w:val="005401AC"/>
    <w:rsid w:val="00540949"/>
    <w:rsid w:val="005435B2"/>
    <w:rsid w:val="005540CA"/>
    <w:rsid w:val="0055723F"/>
    <w:rsid w:val="00565B17"/>
    <w:rsid w:val="005668AB"/>
    <w:rsid w:val="00566E7E"/>
    <w:rsid w:val="00567C29"/>
    <w:rsid w:val="00576C8A"/>
    <w:rsid w:val="00584DBF"/>
    <w:rsid w:val="00584E4D"/>
    <w:rsid w:val="00590B41"/>
    <w:rsid w:val="00591B2C"/>
    <w:rsid w:val="00591B8E"/>
    <w:rsid w:val="00591CA9"/>
    <w:rsid w:val="005938BC"/>
    <w:rsid w:val="00594173"/>
    <w:rsid w:val="005945AA"/>
    <w:rsid w:val="0059523B"/>
    <w:rsid w:val="00597815"/>
    <w:rsid w:val="00597972"/>
    <w:rsid w:val="005A5AEE"/>
    <w:rsid w:val="005A6A53"/>
    <w:rsid w:val="005B198D"/>
    <w:rsid w:val="005B25B0"/>
    <w:rsid w:val="005B2D7C"/>
    <w:rsid w:val="005B3616"/>
    <w:rsid w:val="005B361C"/>
    <w:rsid w:val="005B3ECC"/>
    <w:rsid w:val="005C1DB0"/>
    <w:rsid w:val="005C5002"/>
    <w:rsid w:val="005C55FF"/>
    <w:rsid w:val="005C5A6A"/>
    <w:rsid w:val="005C5AFF"/>
    <w:rsid w:val="005D0101"/>
    <w:rsid w:val="005D0B63"/>
    <w:rsid w:val="005D0F58"/>
    <w:rsid w:val="005D23EF"/>
    <w:rsid w:val="005D5006"/>
    <w:rsid w:val="005E06C5"/>
    <w:rsid w:val="005E170A"/>
    <w:rsid w:val="005E2737"/>
    <w:rsid w:val="005E35EA"/>
    <w:rsid w:val="005E6B63"/>
    <w:rsid w:val="005F3809"/>
    <w:rsid w:val="005F5925"/>
    <w:rsid w:val="005F7B00"/>
    <w:rsid w:val="006002CC"/>
    <w:rsid w:val="00601018"/>
    <w:rsid w:val="0060188A"/>
    <w:rsid w:val="00605EDC"/>
    <w:rsid w:val="0060772E"/>
    <w:rsid w:val="00613636"/>
    <w:rsid w:val="00614BE8"/>
    <w:rsid w:val="00615461"/>
    <w:rsid w:val="006160A4"/>
    <w:rsid w:val="006172B9"/>
    <w:rsid w:val="00617681"/>
    <w:rsid w:val="006227F4"/>
    <w:rsid w:val="00626669"/>
    <w:rsid w:val="0062730F"/>
    <w:rsid w:val="006324DF"/>
    <w:rsid w:val="00632CDF"/>
    <w:rsid w:val="0063365A"/>
    <w:rsid w:val="006350D4"/>
    <w:rsid w:val="0063685D"/>
    <w:rsid w:val="00637113"/>
    <w:rsid w:val="00642014"/>
    <w:rsid w:val="00643398"/>
    <w:rsid w:val="006464C7"/>
    <w:rsid w:val="00653508"/>
    <w:rsid w:val="00655439"/>
    <w:rsid w:val="006569BD"/>
    <w:rsid w:val="00656D60"/>
    <w:rsid w:val="006646C3"/>
    <w:rsid w:val="00671875"/>
    <w:rsid w:val="00681D29"/>
    <w:rsid w:val="0068387F"/>
    <w:rsid w:val="00684004"/>
    <w:rsid w:val="00684243"/>
    <w:rsid w:val="00687E8B"/>
    <w:rsid w:val="00696059"/>
    <w:rsid w:val="006A13D9"/>
    <w:rsid w:val="006A6A8F"/>
    <w:rsid w:val="006A7E4F"/>
    <w:rsid w:val="006B05FA"/>
    <w:rsid w:val="006B54B1"/>
    <w:rsid w:val="006B63DF"/>
    <w:rsid w:val="006C028B"/>
    <w:rsid w:val="006C2E27"/>
    <w:rsid w:val="006C3B3C"/>
    <w:rsid w:val="006C560D"/>
    <w:rsid w:val="006C7F95"/>
    <w:rsid w:val="006D0402"/>
    <w:rsid w:val="006D598B"/>
    <w:rsid w:val="006D7950"/>
    <w:rsid w:val="006E1D97"/>
    <w:rsid w:val="006E2BBD"/>
    <w:rsid w:val="006E4BE0"/>
    <w:rsid w:val="006E5D10"/>
    <w:rsid w:val="006E7DC1"/>
    <w:rsid w:val="006F036C"/>
    <w:rsid w:val="006F2C64"/>
    <w:rsid w:val="006F4716"/>
    <w:rsid w:val="006F6824"/>
    <w:rsid w:val="006F7F31"/>
    <w:rsid w:val="00701F6A"/>
    <w:rsid w:val="00702A50"/>
    <w:rsid w:val="0070429E"/>
    <w:rsid w:val="00706852"/>
    <w:rsid w:val="00712158"/>
    <w:rsid w:val="00717FD1"/>
    <w:rsid w:val="00720D77"/>
    <w:rsid w:val="007248E8"/>
    <w:rsid w:val="00724D33"/>
    <w:rsid w:val="00726240"/>
    <w:rsid w:val="007275EE"/>
    <w:rsid w:val="00731B36"/>
    <w:rsid w:val="00731DAA"/>
    <w:rsid w:val="00734EE4"/>
    <w:rsid w:val="007418BE"/>
    <w:rsid w:val="00743AAE"/>
    <w:rsid w:val="00743DD8"/>
    <w:rsid w:val="00744D3B"/>
    <w:rsid w:val="00751096"/>
    <w:rsid w:val="0075378C"/>
    <w:rsid w:val="00753AEB"/>
    <w:rsid w:val="007552BE"/>
    <w:rsid w:val="0076116E"/>
    <w:rsid w:val="00764B71"/>
    <w:rsid w:val="007709ED"/>
    <w:rsid w:val="00770CC9"/>
    <w:rsid w:val="00770F73"/>
    <w:rsid w:val="00773254"/>
    <w:rsid w:val="0077392C"/>
    <w:rsid w:val="007766D0"/>
    <w:rsid w:val="007775CF"/>
    <w:rsid w:val="00783165"/>
    <w:rsid w:val="007838DB"/>
    <w:rsid w:val="007869B9"/>
    <w:rsid w:val="007878A7"/>
    <w:rsid w:val="007917FF"/>
    <w:rsid w:val="007942C0"/>
    <w:rsid w:val="0079782E"/>
    <w:rsid w:val="007A3556"/>
    <w:rsid w:val="007A3F00"/>
    <w:rsid w:val="007A4FF9"/>
    <w:rsid w:val="007A5912"/>
    <w:rsid w:val="007A671B"/>
    <w:rsid w:val="007B0E55"/>
    <w:rsid w:val="007B173A"/>
    <w:rsid w:val="007B31D6"/>
    <w:rsid w:val="007B3C47"/>
    <w:rsid w:val="007B4224"/>
    <w:rsid w:val="007B431F"/>
    <w:rsid w:val="007B4B1C"/>
    <w:rsid w:val="007B5F59"/>
    <w:rsid w:val="007B6DFF"/>
    <w:rsid w:val="007B7061"/>
    <w:rsid w:val="007B75A1"/>
    <w:rsid w:val="007C5D39"/>
    <w:rsid w:val="007C62EE"/>
    <w:rsid w:val="007C73F5"/>
    <w:rsid w:val="007D019B"/>
    <w:rsid w:val="007D1E0B"/>
    <w:rsid w:val="007D2932"/>
    <w:rsid w:val="007D2D9B"/>
    <w:rsid w:val="007D3018"/>
    <w:rsid w:val="007D4A8B"/>
    <w:rsid w:val="007D6704"/>
    <w:rsid w:val="007D6ED0"/>
    <w:rsid w:val="007E0C9A"/>
    <w:rsid w:val="007E12AB"/>
    <w:rsid w:val="007E2CAD"/>
    <w:rsid w:val="007E4C07"/>
    <w:rsid w:val="007E5FA4"/>
    <w:rsid w:val="007F01E5"/>
    <w:rsid w:val="007F304D"/>
    <w:rsid w:val="007F4EA6"/>
    <w:rsid w:val="00800BBF"/>
    <w:rsid w:val="008024EA"/>
    <w:rsid w:val="00802592"/>
    <w:rsid w:val="00802B63"/>
    <w:rsid w:val="00804FC2"/>
    <w:rsid w:val="00805014"/>
    <w:rsid w:val="00811602"/>
    <w:rsid w:val="00817CFC"/>
    <w:rsid w:val="0082111C"/>
    <w:rsid w:val="00822614"/>
    <w:rsid w:val="00824E64"/>
    <w:rsid w:val="00825EF4"/>
    <w:rsid w:val="00827CA0"/>
    <w:rsid w:val="00830857"/>
    <w:rsid w:val="00831AF8"/>
    <w:rsid w:val="008321C1"/>
    <w:rsid w:val="008323B3"/>
    <w:rsid w:val="00835920"/>
    <w:rsid w:val="00836734"/>
    <w:rsid w:val="00844695"/>
    <w:rsid w:val="008500FB"/>
    <w:rsid w:val="00852EC0"/>
    <w:rsid w:val="00852F12"/>
    <w:rsid w:val="008554EB"/>
    <w:rsid w:val="00862B34"/>
    <w:rsid w:val="0086336A"/>
    <w:rsid w:val="0086415F"/>
    <w:rsid w:val="0086468F"/>
    <w:rsid w:val="00873A40"/>
    <w:rsid w:val="008768B8"/>
    <w:rsid w:val="00880C90"/>
    <w:rsid w:val="0088128D"/>
    <w:rsid w:val="008828CB"/>
    <w:rsid w:val="00887CE8"/>
    <w:rsid w:val="0089216B"/>
    <w:rsid w:val="00894ADE"/>
    <w:rsid w:val="008959DD"/>
    <w:rsid w:val="0089620E"/>
    <w:rsid w:val="008A5EBB"/>
    <w:rsid w:val="008A6893"/>
    <w:rsid w:val="008A79DC"/>
    <w:rsid w:val="008B4C28"/>
    <w:rsid w:val="008B68B1"/>
    <w:rsid w:val="008B6A62"/>
    <w:rsid w:val="008B719B"/>
    <w:rsid w:val="008C14BE"/>
    <w:rsid w:val="008C1AFF"/>
    <w:rsid w:val="008C23F0"/>
    <w:rsid w:val="008C4394"/>
    <w:rsid w:val="008C5B83"/>
    <w:rsid w:val="008D0608"/>
    <w:rsid w:val="008D0C16"/>
    <w:rsid w:val="008D2D6C"/>
    <w:rsid w:val="008F2749"/>
    <w:rsid w:val="008F4416"/>
    <w:rsid w:val="008F7132"/>
    <w:rsid w:val="0090002B"/>
    <w:rsid w:val="009017E0"/>
    <w:rsid w:val="00906AFA"/>
    <w:rsid w:val="00920062"/>
    <w:rsid w:val="0092201E"/>
    <w:rsid w:val="0092522D"/>
    <w:rsid w:val="00926C1F"/>
    <w:rsid w:val="00930BE7"/>
    <w:rsid w:val="00930CF3"/>
    <w:rsid w:val="00931CC7"/>
    <w:rsid w:val="0093210B"/>
    <w:rsid w:val="00933976"/>
    <w:rsid w:val="00934EBC"/>
    <w:rsid w:val="00934FB6"/>
    <w:rsid w:val="009403F5"/>
    <w:rsid w:val="00942443"/>
    <w:rsid w:val="00945037"/>
    <w:rsid w:val="00947DDE"/>
    <w:rsid w:val="00950B04"/>
    <w:rsid w:val="00952DAB"/>
    <w:rsid w:val="00955980"/>
    <w:rsid w:val="0095631E"/>
    <w:rsid w:val="009601C3"/>
    <w:rsid w:val="009614F6"/>
    <w:rsid w:val="0096449B"/>
    <w:rsid w:val="009658BC"/>
    <w:rsid w:val="009660EF"/>
    <w:rsid w:val="009664A0"/>
    <w:rsid w:val="00971BC4"/>
    <w:rsid w:val="00974845"/>
    <w:rsid w:val="00974A6B"/>
    <w:rsid w:val="00975EF7"/>
    <w:rsid w:val="00980B82"/>
    <w:rsid w:val="009819E2"/>
    <w:rsid w:val="00983518"/>
    <w:rsid w:val="009840E0"/>
    <w:rsid w:val="009848C5"/>
    <w:rsid w:val="0098643C"/>
    <w:rsid w:val="0099049A"/>
    <w:rsid w:val="00991A62"/>
    <w:rsid w:val="00992949"/>
    <w:rsid w:val="00994EE9"/>
    <w:rsid w:val="009A052E"/>
    <w:rsid w:val="009A0564"/>
    <w:rsid w:val="009A11E7"/>
    <w:rsid w:val="009A1FDF"/>
    <w:rsid w:val="009A2137"/>
    <w:rsid w:val="009A65AE"/>
    <w:rsid w:val="009A6BF5"/>
    <w:rsid w:val="009A6C71"/>
    <w:rsid w:val="009A785D"/>
    <w:rsid w:val="009B1E7D"/>
    <w:rsid w:val="009B2A75"/>
    <w:rsid w:val="009B3F69"/>
    <w:rsid w:val="009B7732"/>
    <w:rsid w:val="009C19DD"/>
    <w:rsid w:val="009C40AA"/>
    <w:rsid w:val="009C479C"/>
    <w:rsid w:val="009C4DC9"/>
    <w:rsid w:val="009C5B87"/>
    <w:rsid w:val="009C5C87"/>
    <w:rsid w:val="009C79F9"/>
    <w:rsid w:val="009C7A74"/>
    <w:rsid w:val="009C7DF4"/>
    <w:rsid w:val="009D06F9"/>
    <w:rsid w:val="009D0A75"/>
    <w:rsid w:val="009D28AB"/>
    <w:rsid w:val="009D4568"/>
    <w:rsid w:val="009D4EBB"/>
    <w:rsid w:val="009D58E8"/>
    <w:rsid w:val="009D5919"/>
    <w:rsid w:val="009E2CE5"/>
    <w:rsid w:val="009E3F2C"/>
    <w:rsid w:val="009E4569"/>
    <w:rsid w:val="009E46DF"/>
    <w:rsid w:val="009E4BA3"/>
    <w:rsid w:val="009E5487"/>
    <w:rsid w:val="009E6EAB"/>
    <w:rsid w:val="009F06FD"/>
    <w:rsid w:val="009F0F34"/>
    <w:rsid w:val="009F5543"/>
    <w:rsid w:val="009F7025"/>
    <w:rsid w:val="00A02D05"/>
    <w:rsid w:val="00A108BD"/>
    <w:rsid w:val="00A10C88"/>
    <w:rsid w:val="00A123CA"/>
    <w:rsid w:val="00A12644"/>
    <w:rsid w:val="00A16157"/>
    <w:rsid w:val="00A17192"/>
    <w:rsid w:val="00A178E1"/>
    <w:rsid w:val="00A230C6"/>
    <w:rsid w:val="00A23B72"/>
    <w:rsid w:val="00A24FB7"/>
    <w:rsid w:val="00A26E11"/>
    <w:rsid w:val="00A322B1"/>
    <w:rsid w:val="00A34C1A"/>
    <w:rsid w:val="00A35960"/>
    <w:rsid w:val="00A359A7"/>
    <w:rsid w:val="00A41340"/>
    <w:rsid w:val="00A41618"/>
    <w:rsid w:val="00A54277"/>
    <w:rsid w:val="00A56DD5"/>
    <w:rsid w:val="00A579D1"/>
    <w:rsid w:val="00A57F44"/>
    <w:rsid w:val="00A61C6A"/>
    <w:rsid w:val="00A63114"/>
    <w:rsid w:val="00A65111"/>
    <w:rsid w:val="00A65AFA"/>
    <w:rsid w:val="00A65DD5"/>
    <w:rsid w:val="00A67825"/>
    <w:rsid w:val="00A7374F"/>
    <w:rsid w:val="00A76B59"/>
    <w:rsid w:val="00A8761C"/>
    <w:rsid w:val="00A90DAF"/>
    <w:rsid w:val="00A91721"/>
    <w:rsid w:val="00A969A0"/>
    <w:rsid w:val="00AA32A0"/>
    <w:rsid w:val="00AB1E5D"/>
    <w:rsid w:val="00AC13F9"/>
    <w:rsid w:val="00AC23C9"/>
    <w:rsid w:val="00AC5F19"/>
    <w:rsid w:val="00AD0FCE"/>
    <w:rsid w:val="00AD3779"/>
    <w:rsid w:val="00AD3DE6"/>
    <w:rsid w:val="00AD3EDE"/>
    <w:rsid w:val="00AD5902"/>
    <w:rsid w:val="00AD74B0"/>
    <w:rsid w:val="00AE4729"/>
    <w:rsid w:val="00AF0DF6"/>
    <w:rsid w:val="00B0033E"/>
    <w:rsid w:val="00B02713"/>
    <w:rsid w:val="00B05E00"/>
    <w:rsid w:val="00B063F1"/>
    <w:rsid w:val="00B10FCF"/>
    <w:rsid w:val="00B110B0"/>
    <w:rsid w:val="00B162C9"/>
    <w:rsid w:val="00B179A4"/>
    <w:rsid w:val="00B20D6E"/>
    <w:rsid w:val="00B20DA4"/>
    <w:rsid w:val="00B21561"/>
    <w:rsid w:val="00B23683"/>
    <w:rsid w:val="00B24B17"/>
    <w:rsid w:val="00B3054B"/>
    <w:rsid w:val="00B30B06"/>
    <w:rsid w:val="00B30F37"/>
    <w:rsid w:val="00B336C3"/>
    <w:rsid w:val="00B34467"/>
    <w:rsid w:val="00B42C89"/>
    <w:rsid w:val="00B4531E"/>
    <w:rsid w:val="00B51F49"/>
    <w:rsid w:val="00B54E9F"/>
    <w:rsid w:val="00B563E6"/>
    <w:rsid w:val="00B602AD"/>
    <w:rsid w:val="00B65469"/>
    <w:rsid w:val="00B66D5F"/>
    <w:rsid w:val="00B67C25"/>
    <w:rsid w:val="00B710C6"/>
    <w:rsid w:val="00B762F2"/>
    <w:rsid w:val="00B77EDA"/>
    <w:rsid w:val="00B80B3C"/>
    <w:rsid w:val="00B81BEB"/>
    <w:rsid w:val="00B83776"/>
    <w:rsid w:val="00B83794"/>
    <w:rsid w:val="00B8394D"/>
    <w:rsid w:val="00B85C67"/>
    <w:rsid w:val="00B87418"/>
    <w:rsid w:val="00B87B65"/>
    <w:rsid w:val="00B87FDB"/>
    <w:rsid w:val="00B913B6"/>
    <w:rsid w:val="00B945ED"/>
    <w:rsid w:val="00B974AE"/>
    <w:rsid w:val="00B97A52"/>
    <w:rsid w:val="00BA01F2"/>
    <w:rsid w:val="00BA25F3"/>
    <w:rsid w:val="00BA5B08"/>
    <w:rsid w:val="00BA66F1"/>
    <w:rsid w:val="00BA6ED1"/>
    <w:rsid w:val="00BB0289"/>
    <w:rsid w:val="00BB0629"/>
    <w:rsid w:val="00BB1E7A"/>
    <w:rsid w:val="00BB4106"/>
    <w:rsid w:val="00BB4CA4"/>
    <w:rsid w:val="00BB61C8"/>
    <w:rsid w:val="00BB6F0A"/>
    <w:rsid w:val="00BC400D"/>
    <w:rsid w:val="00BC6B05"/>
    <w:rsid w:val="00BC7927"/>
    <w:rsid w:val="00BD1906"/>
    <w:rsid w:val="00BD4A65"/>
    <w:rsid w:val="00BD652D"/>
    <w:rsid w:val="00BD72D9"/>
    <w:rsid w:val="00BE19CF"/>
    <w:rsid w:val="00BE20CA"/>
    <w:rsid w:val="00BE2347"/>
    <w:rsid w:val="00BE3C21"/>
    <w:rsid w:val="00BE7B76"/>
    <w:rsid w:val="00BF549B"/>
    <w:rsid w:val="00BF64C6"/>
    <w:rsid w:val="00BF7F42"/>
    <w:rsid w:val="00C0594F"/>
    <w:rsid w:val="00C06713"/>
    <w:rsid w:val="00C07CA1"/>
    <w:rsid w:val="00C1200F"/>
    <w:rsid w:val="00C1297E"/>
    <w:rsid w:val="00C14E99"/>
    <w:rsid w:val="00C15290"/>
    <w:rsid w:val="00C15FCA"/>
    <w:rsid w:val="00C2111C"/>
    <w:rsid w:val="00C23060"/>
    <w:rsid w:val="00C27279"/>
    <w:rsid w:val="00C3067D"/>
    <w:rsid w:val="00C33F5C"/>
    <w:rsid w:val="00C34FDE"/>
    <w:rsid w:val="00C36378"/>
    <w:rsid w:val="00C3662D"/>
    <w:rsid w:val="00C37B3A"/>
    <w:rsid w:val="00C44992"/>
    <w:rsid w:val="00C45002"/>
    <w:rsid w:val="00C4638F"/>
    <w:rsid w:val="00C47E78"/>
    <w:rsid w:val="00C510B2"/>
    <w:rsid w:val="00C51E5A"/>
    <w:rsid w:val="00C55592"/>
    <w:rsid w:val="00C56205"/>
    <w:rsid w:val="00C5645E"/>
    <w:rsid w:val="00C57080"/>
    <w:rsid w:val="00C60C8B"/>
    <w:rsid w:val="00C62A01"/>
    <w:rsid w:val="00C63DBD"/>
    <w:rsid w:val="00C712BF"/>
    <w:rsid w:val="00C745E9"/>
    <w:rsid w:val="00C7529E"/>
    <w:rsid w:val="00C75C0B"/>
    <w:rsid w:val="00C762BE"/>
    <w:rsid w:val="00C81F40"/>
    <w:rsid w:val="00C82317"/>
    <w:rsid w:val="00C85728"/>
    <w:rsid w:val="00C86978"/>
    <w:rsid w:val="00C86BDC"/>
    <w:rsid w:val="00C87A15"/>
    <w:rsid w:val="00C90A4C"/>
    <w:rsid w:val="00C91665"/>
    <w:rsid w:val="00C94729"/>
    <w:rsid w:val="00C94D9A"/>
    <w:rsid w:val="00CA2B0A"/>
    <w:rsid w:val="00CA2B73"/>
    <w:rsid w:val="00CA4ABC"/>
    <w:rsid w:val="00CA4F8C"/>
    <w:rsid w:val="00CA5C5E"/>
    <w:rsid w:val="00CA6B43"/>
    <w:rsid w:val="00CB3B7A"/>
    <w:rsid w:val="00CB3CC3"/>
    <w:rsid w:val="00CB400B"/>
    <w:rsid w:val="00CB4177"/>
    <w:rsid w:val="00CB79F1"/>
    <w:rsid w:val="00CC16CF"/>
    <w:rsid w:val="00CC354E"/>
    <w:rsid w:val="00CC7257"/>
    <w:rsid w:val="00CD2415"/>
    <w:rsid w:val="00CD25C4"/>
    <w:rsid w:val="00CD2DDC"/>
    <w:rsid w:val="00CD2EE4"/>
    <w:rsid w:val="00CD399B"/>
    <w:rsid w:val="00CD4572"/>
    <w:rsid w:val="00CD5653"/>
    <w:rsid w:val="00CD571B"/>
    <w:rsid w:val="00CD5AAA"/>
    <w:rsid w:val="00CD62A3"/>
    <w:rsid w:val="00CE07CC"/>
    <w:rsid w:val="00CE3B54"/>
    <w:rsid w:val="00CF19FC"/>
    <w:rsid w:val="00CF29C6"/>
    <w:rsid w:val="00CF3B63"/>
    <w:rsid w:val="00D00702"/>
    <w:rsid w:val="00D017B5"/>
    <w:rsid w:val="00D0218C"/>
    <w:rsid w:val="00D03EA0"/>
    <w:rsid w:val="00D04B01"/>
    <w:rsid w:val="00D05640"/>
    <w:rsid w:val="00D0655D"/>
    <w:rsid w:val="00D113A9"/>
    <w:rsid w:val="00D12FDA"/>
    <w:rsid w:val="00D15263"/>
    <w:rsid w:val="00D15548"/>
    <w:rsid w:val="00D21049"/>
    <w:rsid w:val="00D2600C"/>
    <w:rsid w:val="00D31DC3"/>
    <w:rsid w:val="00D334B5"/>
    <w:rsid w:val="00D33E4A"/>
    <w:rsid w:val="00D34008"/>
    <w:rsid w:val="00D42C37"/>
    <w:rsid w:val="00D444E7"/>
    <w:rsid w:val="00D44CE3"/>
    <w:rsid w:val="00D44D58"/>
    <w:rsid w:val="00D52B4F"/>
    <w:rsid w:val="00D5467C"/>
    <w:rsid w:val="00D556BD"/>
    <w:rsid w:val="00D55934"/>
    <w:rsid w:val="00D569AA"/>
    <w:rsid w:val="00D578BF"/>
    <w:rsid w:val="00D66C66"/>
    <w:rsid w:val="00D67349"/>
    <w:rsid w:val="00D70490"/>
    <w:rsid w:val="00D70FC3"/>
    <w:rsid w:val="00D71822"/>
    <w:rsid w:val="00D7320E"/>
    <w:rsid w:val="00D766C4"/>
    <w:rsid w:val="00D80FA4"/>
    <w:rsid w:val="00D8697C"/>
    <w:rsid w:val="00D90EDD"/>
    <w:rsid w:val="00D9173E"/>
    <w:rsid w:val="00D91942"/>
    <w:rsid w:val="00D91C70"/>
    <w:rsid w:val="00D93B3F"/>
    <w:rsid w:val="00D958DE"/>
    <w:rsid w:val="00D97BC9"/>
    <w:rsid w:val="00DA14CC"/>
    <w:rsid w:val="00DA1588"/>
    <w:rsid w:val="00DA3FB6"/>
    <w:rsid w:val="00DA494E"/>
    <w:rsid w:val="00DA4CDF"/>
    <w:rsid w:val="00DB6026"/>
    <w:rsid w:val="00DB686B"/>
    <w:rsid w:val="00DB6958"/>
    <w:rsid w:val="00DC17ED"/>
    <w:rsid w:val="00DC2A7A"/>
    <w:rsid w:val="00DC2E52"/>
    <w:rsid w:val="00DC3FD3"/>
    <w:rsid w:val="00DC4E2F"/>
    <w:rsid w:val="00DC590D"/>
    <w:rsid w:val="00DD0C1F"/>
    <w:rsid w:val="00DD2F15"/>
    <w:rsid w:val="00DD5088"/>
    <w:rsid w:val="00DD771B"/>
    <w:rsid w:val="00DE2BBE"/>
    <w:rsid w:val="00DE3341"/>
    <w:rsid w:val="00DE3A31"/>
    <w:rsid w:val="00DE44A3"/>
    <w:rsid w:val="00DE4803"/>
    <w:rsid w:val="00DE4B00"/>
    <w:rsid w:val="00DE6712"/>
    <w:rsid w:val="00DE796A"/>
    <w:rsid w:val="00DF057E"/>
    <w:rsid w:val="00DF4E1A"/>
    <w:rsid w:val="00DF5DCD"/>
    <w:rsid w:val="00DF6891"/>
    <w:rsid w:val="00DF794D"/>
    <w:rsid w:val="00E00612"/>
    <w:rsid w:val="00E015AC"/>
    <w:rsid w:val="00E0278C"/>
    <w:rsid w:val="00E0494C"/>
    <w:rsid w:val="00E062DB"/>
    <w:rsid w:val="00E0682F"/>
    <w:rsid w:val="00E10344"/>
    <w:rsid w:val="00E11B13"/>
    <w:rsid w:val="00E14386"/>
    <w:rsid w:val="00E1515A"/>
    <w:rsid w:val="00E176E7"/>
    <w:rsid w:val="00E2101B"/>
    <w:rsid w:val="00E23CDB"/>
    <w:rsid w:val="00E23DD2"/>
    <w:rsid w:val="00E24822"/>
    <w:rsid w:val="00E2782D"/>
    <w:rsid w:val="00E323C0"/>
    <w:rsid w:val="00E369DB"/>
    <w:rsid w:val="00E36EB2"/>
    <w:rsid w:val="00E40300"/>
    <w:rsid w:val="00E42B70"/>
    <w:rsid w:val="00E430D3"/>
    <w:rsid w:val="00E45B05"/>
    <w:rsid w:val="00E51BAF"/>
    <w:rsid w:val="00E56413"/>
    <w:rsid w:val="00E5661C"/>
    <w:rsid w:val="00E6085D"/>
    <w:rsid w:val="00E616D8"/>
    <w:rsid w:val="00E63CFD"/>
    <w:rsid w:val="00E642AB"/>
    <w:rsid w:val="00E720C8"/>
    <w:rsid w:val="00E72BB0"/>
    <w:rsid w:val="00E7302C"/>
    <w:rsid w:val="00E7491C"/>
    <w:rsid w:val="00E760C7"/>
    <w:rsid w:val="00E8364E"/>
    <w:rsid w:val="00E86012"/>
    <w:rsid w:val="00E904D5"/>
    <w:rsid w:val="00E90558"/>
    <w:rsid w:val="00E9518F"/>
    <w:rsid w:val="00E96DEF"/>
    <w:rsid w:val="00E978B6"/>
    <w:rsid w:val="00EA0788"/>
    <w:rsid w:val="00EA0F41"/>
    <w:rsid w:val="00EA14B6"/>
    <w:rsid w:val="00EA25C3"/>
    <w:rsid w:val="00EA40E3"/>
    <w:rsid w:val="00EA6CB7"/>
    <w:rsid w:val="00EA7F98"/>
    <w:rsid w:val="00EB41C6"/>
    <w:rsid w:val="00EB50BD"/>
    <w:rsid w:val="00EB5485"/>
    <w:rsid w:val="00EB5A60"/>
    <w:rsid w:val="00EB63CF"/>
    <w:rsid w:val="00EB7E26"/>
    <w:rsid w:val="00EC35F9"/>
    <w:rsid w:val="00EC3A5F"/>
    <w:rsid w:val="00EC6490"/>
    <w:rsid w:val="00ED0538"/>
    <w:rsid w:val="00ED6A88"/>
    <w:rsid w:val="00ED77A3"/>
    <w:rsid w:val="00EE026C"/>
    <w:rsid w:val="00EE16F1"/>
    <w:rsid w:val="00EE25FB"/>
    <w:rsid w:val="00EE3815"/>
    <w:rsid w:val="00EE396A"/>
    <w:rsid w:val="00EE48F0"/>
    <w:rsid w:val="00EF00CD"/>
    <w:rsid w:val="00EF0793"/>
    <w:rsid w:val="00EF0EBE"/>
    <w:rsid w:val="00EF64C5"/>
    <w:rsid w:val="00EF657D"/>
    <w:rsid w:val="00EF7E5A"/>
    <w:rsid w:val="00F01C36"/>
    <w:rsid w:val="00F07B8F"/>
    <w:rsid w:val="00F12DD6"/>
    <w:rsid w:val="00F1469D"/>
    <w:rsid w:val="00F15688"/>
    <w:rsid w:val="00F1601D"/>
    <w:rsid w:val="00F2032A"/>
    <w:rsid w:val="00F240DC"/>
    <w:rsid w:val="00F26CD0"/>
    <w:rsid w:val="00F305A7"/>
    <w:rsid w:val="00F31540"/>
    <w:rsid w:val="00F32D69"/>
    <w:rsid w:val="00F40359"/>
    <w:rsid w:val="00F41608"/>
    <w:rsid w:val="00F46C67"/>
    <w:rsid w:val="00F47390"/>
    <w:rsid w:val="00F50135"/>
    <w:rsid w:val="00F61AB5"/>
    <w:rsid w:val="00F61DB0"/>
    <w:rsid w:val="00F63D9C"/>
    <w:rsid w:val="00F64BB3"/>
    <w:rsid w:val="00F65D3B"/>
    <w:rsid w:val="00F70C3F"/>
    <w:rsid w:val="00F72E34"/>
    <w:rsid w:val="00F7639B"/>
    <w:rsid w:val="00F81FF5"/>
    <w:rsid w:val="00F83E0B"/>
    <w:rsid w:val="00F90735"/>
    <w:rsid w:val="00F911A0"/>
    <w:rsid w:val="00F93241"/>
    <w:rsid w:val="00FA44AA"/>
    <w:rsid w:val="00FA5ECA"/>
    <w:rsid w:val="00FB0169"/>
    <w:rsid w:val="00FB2AC7"/>
    <w:rsid w:val="00FB3810"/>
    <w:rsid w:val="00FB59A6"/>
    <w:rsid w:val="00FB7004"/>
    <w:rsid w:val="00FC3AE7"/>
    <w:rsid w:val="00FC4CD1"/>
    <w:rsid w:val="00FC558F"/>
    <w:rsid w:val="00FC5790"/>
    <w:rsid w:val="00FD1F70"/>
    <w:rsid w:val="00FD229D"/>
    <w:rsid w:val="00FD39D9"/>
    <w:rsid w:val="00FD3B7A"/>
    <w:rsid w:val="00FD576F"/>
    <w:rsid w:val="00FD7BCB"/>
    <w:rsid w:val="00FD7F76"/>
    <w:rsid w:val="00FE1755"/>
    <w:rsid w:val="00FE21C0"/>
    <w:rsid w:val="00FE2DC0"/>
    <w:rsid w:val="00FE313A"/>
    <w:rsid w:val="00FE6123"/>
    <w:rsid w:val="00FF04F3"/>
    <w:rsid w:val="00FF1154"/>
    <w:rsid w:val="00FF55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22821"/>
  <w15:docId w15:val="{5C184CBA-C0FB-4EFB-928E-9AC19CBBE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Cs w:val="30"/>
    </w:rPr>
  </w:style>
  <w:style w:type="paragraph" w:styleId="Heading1">
    <w:name w:val="heading 1"/>
    <w:basedOn w:val="Normal"/>
    <w:next w:val="Normal"/>
    <w:link w:val="Heading1Char"/>
    <w:qFormat/>
    <w:pPr>
      <w:keepNext/>
      <w:spacing w:before="120" w:after="120" w:line="360" w:lineRule="exact"/>
      <w:jc w:val="center"/>
      <w:outlineLvl w:val="0"/>
    </w:pPr>
    <w:rPr>
      <w:u w:val="single"/>
    </w:rPr>
  </w:style>
  <w:style w:type="paragraph" w:styleId="Heading2">
    <w:name w:val="heading 2"/>
    <w:basedOn w:val="Normal"/>
    <w:next w:val="Normal"/>
    <w:link w:val="Heading2Char"/>
    <w:qFormat/>
    <w:pPr>
      <w:keepNext/>
      <w:spacing w:before="120" w:after="120" w:line="360" w:lineRule="exact"/>
      <w:jc w:val="center"/>
      <w:outlineLvl w:val="1"/>
    </w:pPr>
    <w:rPr>
      <w:u w:val="single"/>
    </w:rPr>
  </w:style>
  <w:style w:type="paragraph" w:styleId="Heading3">
    <w:name w:val="heading 3"/>
    <w:basedOn w:val="Normal"/>
    <w:next w:val="Normal"/>
    <w:link w:val="Heading3Char"/>
    <w:qFormat/>
    <w:pPr>
      <w:keepNext/>
      <w:spacing w:before="120" w:after="120" w:line="360" w:lineRule="exact"/>
      <w:jc w:val="both"/>
      <w:outlineLvl w:val="2"/>
    </w:pPr>
    <w:rPr>
      <w:u w:val="single"/>
    </w:rPr>
  </w:style>
  <w:style w:type="paragraph" w:styleId="Heading4">
    <w:name w:val="heading 4"/>
    <w:basedOn w:val="Normal"/>
    <w:next w:val="Normal"/>
    <w:link w:val="Heading4Char"/>
    <w:qFormat/>
    <w:pPr>
      <w:keepNext/>
      <w:spacing w:before="120" w:after="120" w:line="360" w:lineRule="exact"/>
      <w:jc w:val="both"/>
      <w:outlineLvl w:val="3"/>
    </w:pPr>
  </w:style>
  <w:style w:type="paragraph" w:styleId="Heading5">
    <w:name w:val="heading 5"/>
    <w:basedOn w:val="Normal"/>
    <w:next w:val="Normal"/>
    <w:link w:val="Heading5Char"/>
    <w:qFormat/>
    <w:pPr>
      <w:keepNext/>
      <w:jc w:val="right"/>
      <w:outlineLvl w:val="4"/>
    </w:pPr>
    <w:rPr>
      <w:rFonts w:ascii="Times" w:hAnsi="Times" w:cs="Arabic Transparent"/>
      <w:b/>
      <w:bCs/>
      <w:noProof/>
      <w:szCs w:val="44"/>
    </w:rPr>
  </w:style>
  <w:style w:type="paragraph" w:styleId="Heading6">
    <w:name w:val="heading 6"/>
    <w:basedOn w:val="Normal"/>
    <w:next w:val="Normal"/>
    <w:link w:val="Heading6Char"/>
    <w:qFormat/>
    <w:pPr>
      <w:keepNext/>
      <w:spacing w:before="120" w:after="120" w:line="360" w:lineRule="exact"/>
      <w:jc w:val="both"/>
      <w:outlineLvl w:val="5"/>
    </w:pPr>
    <w:rPr>
      <w:u w:val="single"/>
    </w:rPr>
  </w:style>
  <w:style w:type="paragraph" w:styleId="Heading7">
    <w:name w:val="heading 7"/>
    <w:basedOn w:val="Normal"/>
    <w:next w:val="Normal"/>
    <w:link w:val="Heading7Char"/>
    <w:qFormat/>
    <w:pPr>
      <w:keepNext/>
      <w:jc w:val="center"/>
      <w:outlineLvl w:val="6"/>
    </w:pPr>
    <w:rPr>
      <w:rFonts w:ascii="Times" w:hAnsi="Times"/>
      <w:b/>
      <w:bCs/>
      <w:noProof/>
    </w:rPr>
  </w:style>
  <w:style w:type="paragraph" w:styleId="Heading8">
    <w:name w:val="heading 8"/>
    <w:basedOn w:val="Normal"/>
    <w:next w:val="Normal"/>
    <w:link w:val="Heading8Char"/>
    <w:qFormat/>
    <w:pPr>
      <w:keepNext/>
      <w:jc w:val="center"/>
      <w:outlineLvl w:val="7"/>
    </w:pPr>
    <w:rPr>
      <w:b/>
      <w:bCs/>
      <w:sz w:val="30"/>
    </w:rPr>
  </w:style>
  <w:style w:type="paragraph" w:styleId="Heading9">
    <w:name w:val="heading 9"/>
    <w:basedOn w:val="Normal"/>
    <w:next w:val="Normal"/>
    <w:link w:val="Heading9Char"/>
    <w:qFormat/>
    <w:pPr>
      <w:keepNext/>
      <w:spacing w:line="360" w:lineRule="exact"/>
      <w:jc w:val="center"/>
      <w:outlineLvl w:val="8"/>
    </w:pPr>
    <w:rPr>
      <w:rFonts w:ascii="Times" w:hAnsi="Times"/>
      <w:b/>
      <w:bCs/>
      <w:noProo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jc w:val="right"/>
    </w:pPr>
    <w:rPr>
      <w:rFonts w:ascii="Times" w:hAnsi="Times"/>
      <w:noProof/>
      <w:szCs w:val="24"/>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jc w:val="right"/>
    </w:pPr>
    <w:rPr>
      <w:rFonts w:ascii="Times" w:hAnsi="Times"/>
      <w:noProof/>
      <w:szCs w:val="24"/>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3"/>
    <w:basedOn w:val="Normal"/>
    <w:link w:val="FootnoteTextChar"/>
    <w:qFormat/>
    <w:pPr>
      <w:jc w:val="right"/>
    </w:pPr>
    <w:rPr>
      <w:rFonts w:ascii="Times" w:hAnsi="Times"/>
      <w:noProof/>
      <w:szCs w:val="20"/>
    </w:rPr>
  </w:style>
  <w:style w:type="character" w:styleId="FootnoteReference">
    <w:name w:val="footnote reference"/>
    <w:aliases w:val="16 Point,Superscript 6 Point,ftref,(Ref. de nota al pie),number,SUPERS,Footnote Reference Superscript,Footnote text,Footnote Text1,Footnote Text2,fr,Fotnotsreferens,Footnote Reference S"/>
    <w:rPr>
      <w:vertAlign w:val="superscript"/>
    </w:rPr>
  </w:style>
  <w:style w:type="paragraph" w:customStyle="1" w:styleId="Level1">
    <w:name w:val="Level1"/>
    <w:basedOn w:val="Normal"/>
    <w:pPr>
      <w:tabs>
        <w:tab w:val="left" w:pos="578"/>
        <w:tab w:val="left" w:pos="1157"/>
      </w:tabs>
      <w:spacing w:after="240"/>
    </w:pPr>
    <w:rPr>
      <w:rFonts w:cs="Times New Roman"/>
      <w:szCs w:val="22"/>
      <w:lang w:val="en-GB" w:eastAsia="fr-FR"/>
    </w:rPr>
  </w:style>
  <w:style w:type="paragraph" w:customStyle="1" w:styleId="font6">
    <w:name w:val="font6"/>
    <w:basedOn w:val="Normal"/>
    <w:pPr>
      <w:spacing w:before="100" w:beforeAutospacing="1" w:after="100" w:afterAutospacing="1"/>
    </w:pPr>
    <w:rPr>
      <w:rFonts w:ascii="Arial" w:eastAsia="Arial Unicode MS" w:hAnsi="Arial" w:cs="Arial"/>
      <w:szCs w:val="20"/>
      <w:lang w:val="fr-FR" w:eastAsia="fr-FR"/>
    </w:rPr>
  </w:style>
  <w:style w:type="paragraph" w:styleId="BodyText">
    <w:name w:val="Body Text"/>
    <w:basedOn w:val="Normal"/>
    <w:link w:val="BodyTextChar"/>
    <w:rPr>
      <w:rFonts w:ascii="Times" w:hAnsi="Times"/>
    </w:rPr>
  </w:style>
  <w:style w:type="paragraph" w:styleId="BodyText2">
    <w:name w:val="Body Text 2"/>
    <w:basedOn w:val="Normal"/>
    <w:link w:val="BodyText2Char"/>
    <w:pPr>
      <w:jc w:val="both"/>
    </w:pPr>
    <w:rPr>
      <w:rFonts w:ascii="Times" w:hAnsi="Times"/>
      <w:noProof/>
      <w:sz w:val="28"/>
    </w:rPr>
  </w:style>
  <w:style w:type="paragraph" w:customStyle="1" w:styleId="SingleTxt">
    <w:name w:val="__Single Txt"/>
    <w:basedOn w:val="Normal"/>
    <w:qFormat/>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w w:val="103"/>
      <w:kern w:val="14"/>
    </w:rPr>
  </w:style>
  <w:style w:type="paragraph" w:customStyle="1" w:styleId="Normal-pool">
    <w:name w:val="Normal-pool"/>
    <w:link w:val="Normal-poolChar"/>
    <w:rsid w:val="00317E61"/>
    <w:pPr>
      <w:tabs>
        <w:tab w:val="left" w:pos="1247"/>
        <w:tab w:val="left" w:pos="1814"/>
        <w:tab w:val="left" w:pos="2381"/>
        <w:tab w:val="left" w:pos="2948"/>
        <w:tab w:val="left" w:pos="3515"/>
      </w:tabs>
    </w:pPr>
    <w:rPr>
      <w:rFonts w:cs="Times New Roman"/>
      <w:szCs w:val="30"/>
      <w:lang w:val="en-GB"/>
    </w:rPr>
  </w:style>
  <w:style w:type="character" w:customStyle="1" w:styleId="Normal-poolChar">
    <w:name w:val="Normal-pool Char"/>
    <w:link w:val="Normal-pool"/>
    <w:rsid w:val="00317E61"/>
    <w:rPr>
      <w:lang w:val="en-GB" w:eastAsia="en-US" w:bidi="ar-SA"/>
    </w:rPr>
  </w:style>
  <w:style w:type="paragraph" w:customStyle="1" w:styleId="ListParagraph1">
    <w:name w:val="List Paragraph1"/>
    <w:basedOn w:val="Normal"/>
    <w:rsid w:val="00317E61"/>
    <w:pPr>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link w:val="ZZAnxheaderChar"/>
    <w:rsid w:val="00317E61"/>
    <w:rPr>
      <w:b/>
      <w:bCs/>
      <w:sz w:val="28"/>
      <w:szCs w:val="22"/>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E1443"/>
    <w:rPr>
      <w:rFonts w:ascii="Times" w:hAnsi="Times"/>
      <w:noProof/>
    </w:rPr>
  </w:style>
  <w:style w:type="paragraph" w:styleId="BalloonText">
    <w:name w:val="Balloon Text"/>
    <w:basedOn w:val="Normal"/>
    <w:link w:val="BalloonTextChar"/>
    <w:rsid w:val="004F26CB"/>
    <w:rPr>
      <w:rFonts w:ascii="Tahoma" w:hAnsi="Tahoma" w:cs="Tahoma"/>
      <w:sz w:val="16"/>
      <w:szCs w:val="16"/>
    </w:rPr>
  </w:style>
  <w:style w:type="character" w:customStyle="1" w:styleId="BalloonTextChar">
    <w:name w:val="Balloon Text Char"/>
    <w:link w:val="BalloonText"/>
    <w:rsid w:val="004F26CB"/>
    <w:rPr>
      <w:rFonts w:ascii="Tahoma" w:hAnsi="Tahoma" w:cs="Tahoma"/>
      <w:sz w:val="16"/>
      <w:szCs w:val="16"/>
    </w:rPr>
  </w:style>
  <w:style w:type="paragraph" w:styleId="BlockText">
    <w:name w:val="Block Text"/>
    <w:basedOn w:val="Normal"/>
    <w:rsid w:val="00E176E7"/>
    <w:pPr>
      <w:bidi/>
      <w:ind w:left="720" w:hanging="720"/>
      <w:jc w:val="lowKashida"/>
    </w:pPr>
    <w:rPr>
      <w:rFonts w:ascii="Times" w:hAnsi="Times" w:cs="Mudir MT"/>
      <w:noProof/>
      <w:szCs w:val="24"/>
    </w:rPr>
  </w:style>
  <w:style w:type="paragraph" w:styleId="BodyText3">
    <w:name w:val="Body Text 3"/>
    <w:basedOn w:val="Normal"/>
    <w:link w:val="BodyText3Char"/>
    <w:rsid w:val="00E176E7"/>
    <w:pPr>
      <w:bidi/>
      <w:spacing w:before="240" w:line="360" w:lineRule="auto"/>
      <w:jc w:val="both"/>
    </w:pPr>
    <w:rPr>
      <w:rFonts w:ascii="Times" w:hAnsi="Times" w:cs="Simplified Arabic"/>
      <w:szCs w:val="28"/>
    </w:rPr>
  </w:style>
  <w:style w:type="character" w:customStyle="1" w:styleId="BodyText3Char">
    <w:name w:val="Body Text 3 Char"/>
    <w:basedOn w:val="DefaultParagraphFont"/>
    <w:link w:val="BodyText3"/>
    <w:rsid w:val="00E176E7"/>
    <w:rPr>
      <w:rFonts w:ascii="Times" w:hAnsi="Times" w:cs="Simplified Arabic"/>
      <w:szCs w:val="28"/>
    </w:rPr>
  </w:style>
  <w:style w:type="character" w:styleId="Hyperlink">
    <w:name w:val="Hyperlink"/>
    <w:uiPriority w:val="99"/>
    <w:rsid w:val="00E176E7"/>
    <w:rPr>
      <w:color w:val="0000FF"/>
      <w:u w:val="single"/>
    </w:rPr>
  </w:style>
  <w:style w:type="paragraph" w:styleId="BodyTextIndent">
    <w:name w:val="Body Text Indent"/>
    <w:basedOn w:val="Normal"/>
    <w:link w:val="BodyTextIndentChar"/>
    <w:rsid w:val="00E176E7"/>
    <w:pPr>
      <w:bidi/>
      <w:spacing w:line="360" w:lineRule="exact"/>
      <w:ind w:left="13" w:firstLine="707"/>
      <w:jc w:val="both"/>
    </w:pPr>
    <w:rPr>
      <w:rFonts w:ascii="Times" w:hAnsi="Times" w:cs="Simplified Arabic"/>
      <w:szCs w:val="28"/>
    </w:rPr>
  </w:style>
  <w:style w:type="character" w:customStyle="1" w:styleId="BodyTextIndentChar">
    <w:name w:val="Body Text Indent Char"/>
    <w:basedOn w:val="DefaultParagraphFont"/>
    <w:link w:val="BodyTextIndent"/>
    <w:rsid w:val="00E176E7"/>
    <w:rPr>
      <w:rFonts w:ascii="Times" w:hAnsi="Times" w:cs="Simplified Arabic"/>
      <w:szCs w:val="28"/>
    </w:rPr>
  </w:style>
  <w:style w:type="character" w:styleId="FollowedHyperlink">
    <w:name w:val="FollowedHyperlink"/>
    <w:rsid w:val="00E176E7"/>
    <w:rPr>
      <w:color w:val="800080"/>
      <w:u w:val="single"/>
    </w:rPr>
  </w:style>
  <w:style w:type="paragraph" w:styleId="EndnoteText">
    <w:name w:val="endnote text"/>
    <w:basedOn w:val="Normal"/>
    <w:link w:val="EndnoteTextChar"/>
    <w:rsid w:val="00E176E7"/>
    <w:pPr>
      <w:bidi/>
    </w:pPr>
    <w:rPr>
      <w:rFonts w:ascii="Times" w:hAnsi="Times" w:cs="Simplified Arabic"/>
      <w:noProof/>
      <w:szCs w:val="20"/>
    </w:rPr>
  </w:style>
  <w:style w:type="character" w:customStyle="1" w:styleId="EndnoteTextChar">
    <w:name w:val="Endnote Text Char"/>
    <w:basedOn w:val="DefaultParagraphFont"/>
    <w:link w:val="EndnoteText"/>
    <w:rsid w:val="00E176E7"/>
    <w:rPr>
      <w:rFonts w:ascii="Times" w:hAnsi="Times" w:cs="Simplified Arabic"/>
      <w:noProof/>
    </w:rPr>
  </w:style>
  <w:style w:type="character" w:styleId="EndnoteReference">
    <w:name w:val="endnote reference"/>
    <w:rsid w:val="00E176E7"/>
    <w:rPr>
      <w:vertAlign w:val="superscript"/>
    </w:rPr>
  </w:style>
  <w:style w:type="paragraph" w:styleId="Title">
    <w:name w:val="Title"/>
    <w:basedOn w:val="Normal"/>
    <w:link w:val="TitleChar"/>
    <w:qFormat/>
    <w:rsid w:val="00E176E7"/>
    <w:pPr>
      <w:bidi/>
      <w:jc w:val="center"/>
    </w:pPr>
    <w:rPr>
      <w:rFonts w:cs="Simplified Arabic"/>
      <w:sz w:val="22"/>
      <w:szCs w:val="28"/>
      <w:u w:val="single"/>
    </w:rPr>
  </w:style>
  <w:style w:type="character" w:customStyle="1" w:styleId="TitleChar">
    <w:name w:val="Title Char"/>
    <w:basedOn w:val="DefaultParagraphFont"/>
    <w:link w:val="Title"/>
    <w:rsid w:val="00E176E7"/>
    <w:rPr>
      <w:rFonts w:cs="Simplified Arabic"/>
      <w:sz w:val="22"/>
      <w:szCs w:val="28"/>
      <w:u w:val="single"/>
    </w:rPr>
  </w:style>
  <w:style w:type="paragraph" w:styleId="Subtitle">
    <w:name w:val="Subtitle"/>
    <w:basedOn w:val="Normal"/>
    <w:link w:val="SubtitleChar"/>
    <w:qFormat/>
    <w:rsid w:val="00E176E7"/>
    <w:pPr>
      <w:bidi/>
      <w:jc w:val="center"/>
    </w:pPr>
    <w:rPr>
      <w:rFonts w:cs="Simplified Arabic"/>
      <w:sz w:val="22"/>
      <w:szCs w:val="28"/>
      <w:u w:val="single"/>
    </w:rPr>
  </w:style>
  <w:style w:type="character" w:customStyle="1" w:styleId="SubtitleChar">
    <w:name w:val="Subtitle Char"/>
    <w:basedOn w:val="DefaultParagraphFont"/>
    <w:link w:val="Subtitle"/>
    <w:rsid w:val="00E176E7"/>
    <w:rPr>
      <w:rFonts w:cs="Simplified Arabic"/>
      <w:sz w:val="22"/>
      <w:szCs w:val="28"/>
      <w:u w:val="single"/>
    </w:rPr>
  </w:style>
  <w:style w:type="paragraph" w:styleId="BodyTextIndent2">
    <w:name w:val="Body Text Indent 2"/>
    <w:basedOn w:val="Normal"/>
    <w:link w:val="BodyTextIndent2Char"/>
    <w:rsid w:val="00E176E7"/>
    <w:pPr>
      <w:bidi/>
      <w:spacing w:line="360" w:lineRule="exact"/>
      <w:ind w:left="70" w:firstLine="600"/>
      <w:jc w:val="both"/>
    </w:pPr>
    <w:rPr>
      <w:rFonts w:cs="Simplified Arabic"/>
      <w:sz w:val="22"/>
      <w:szCs w:val="28"/>
    </w:rPr>
  </w:style>
  <w:style w:type="character" w:customStyle="1" w:styleId="BodyTextIndent2Char">
    <w:name w:val="Body Text Indent 2 Char"/>
    <w:basedOn w:val="DefaultParagraphFont"/>
    <w:link w:val="BodyTextIndent2"/>
    <w:rsid w:val="00E176E7"/>
    <w:rPr>
      <w:rFonts w:cs="Simplified Arabic"/>
      <w:sz w:val="22"/>
      <w:szCs w:val="28"/>
    </w:rPr>
  </w:style>
  <w:style w:type="paragraph" w:styleId="BodyTextIndent3">
    <w:name w:val="Body Text Indent 3"/>
    <w:basedOn w:val="Normal"/>
    <w:link w:val="BodyTextIndent3Char"/>
    <w:rsid w:val="00E176E7"/>
    <w:pPr>
      <w:bidi/>
      <w:spacing w:line="360" w:lineRule="exact"/>
      <w:ind w:left="70" w:firstLine="600"/>
      <w:jc w:val="both"/>
    </w:pPr>
    <w:rPr>
      <w:rFonts w:cs="Simplified Arabic"/>
      <w:sz w:val="22"/>
      <w:szCs w:val="28"/>
    </w:rPr>
  </w:style>
  <w:style w:type="character" w:customStyle="1" w:styleId="BodyTextIndent3Char">
    <w:name w:val="Body Text Indent 3 Char"/>
    <w:basedOn w:val="DefaultParagraphFont"/>
    <w:link w:val="BodyTextIndent3"/>
    <w:rsid w:val="00E176E7"/>
    <w:rPr>
      <w:rFonts w:cs="Simplified Arabic"/>
      <w:sz w:val="22"/>
      <w:szCs w:val="28"/>
    </w:rPr>
  </w:style>
  <w:style w:type="paragraph" w:styleId="Caption">
    <w:name w:val="caption"/>
    <w:basedOn w:val="Normal"/>
    <w:next w:val="Normal"/>
    <w:qFormat/>
    <w:rsid w:val="00E176E7"/>
    <w:pPr>
      <w:bidi/>
      <w:spacing w:after="360" w:line="360" w:lineRule="exact"/>
      <w:jc w:val="both"/>
    </w:pPr>
    <w:rPr>
      <w:rFonts w:ascii="Times" w:hAnsi="Times"/>
      <w:b/>
      <w:bCs/>
    </w:rPr>
  </w:style>
  <w:style w:type="paragraph" w:customStyle="1" w:styleId="Normal-num">
    <w:name w:val="Normal-num"/>
    <w:basedOn w:val="Normal"/>
    <w:next w:val="Normal"/>
    <w:rsid w:val="00E176E7"/>
    <w:pPr>
      <w:tabs>
        <w:tab w:val="num" w:pos="360"/>
      </w:tabs>
      <w:suppressAutoHyphens/>
      <w:ind w:right="360" w:hanging="360"/>
    </w:pPr>
    <w:rPr>
      <w:rFonts w:cs="Times New Roman"/>
      <w:snapToGrid w:val="0"/>
      <w:sz w:val="22"/>
      <w:szCs w:val="22"/>
      <w:lang w:val="en-GB"/>
    </w:rPr>
  </w:style>
  <w:style w:type="character" w:customStyle="1" w:styleId="DeltaViewInsertion">
    <w:name w:val="DeltaView Insertion"/>
    <w:uiPriority w:val="99"/>
    <w:rsid w:val="00E176E7"/>
    <w:rPr>
      <w:color w:val="0000FF"/>
      <w:u w:val="double"/>
    </w:rPr>
  </w:style>
  <w:style w:type="paragraph" w:customStyle="1" w:styleId="Normalnumber">
    <w:name w:val="Normal_number"/>
    <w:basedOn w:val="Normal"/>
    <w:link w:val="NormalnumberChar"/>
    <w:rsid w:val="00E176E7"/>
    <w:pPr>
      <w:numPr>
        <w:numId w:val="1"/>
      </w:numPr>
      <w:autoSpaceDE w:val="0"/>
      <w:autoSpaceDN w:val="0"/>
      <w:adjustRightInd w:val="0"/>
      <w:spacing w:after="120"/>
    </w:pPr>
    <w:rPr>
      <w:rFonts w:eastAsiaTheme="minorEastAsia" w:cs="Times New Roman"/>
      <w:szCs w:val="24"/>
    </w:rPr>
  </w:style>
  <w:style w:type="paragraph" w:styleId="ListParagraph">
    <w:name w:val="List Paragraph"/>
    <w:basedOn w:val="Normal"/>
    <w:uiPriority w:val="34"/>
    <w:qFormat/>
    <w:rsid w:val="00D113A9"/>
    <w:pPr>
      <w:bidi/>
      <w:ind w:left="720"/>
      <w:contextualSpacing/>
    </w:pPr>
    <w:rPr>
      <w:rFonts w:ascii="Times" w:hAnsi="Times" w:cs="Simplified Arabic"/>
      <w:noProof/>
      <w:szCs w:val="28"/>
    </w:rPr>
  </w:style>
  <w:style w:type="paragraph" w:customStyle="1" w:styleId="Normalpool">
    <w:name w:val="Normal_pool"/>
    <w:link w:val="NormalpoolChar"/>
    <w:rsid w:val="00D113A9"/>
    <w:pPr>
      <w:tabs>
        <w:tab w:val="left" w:pos="1253"/>
        <w:tab w:val="left" w:pos="1814"/>
        <w:tab w:val="left" w:pos="2376"/>
        <w:tab w:val="left" w:pos="2952"/>
        <w:tab w:val="left" w:pos="3514"/>
      </w:tabs>
    </w:pPr>
    <w:rPr>
      <w:rFonts w:eastAsiaTheme="minorHAnsi" w:cs="Times New Roman"/>
      <w:sz w:val="22"/>
      <w:szCs w:val="22"/>
      <w:lang w:val="en-GB"/>
    </w:rPr>
  </w:style>
  <w:style w:type="character" w:customStyle="1" w:styleId="NormalnumberChar">
    <w:name w:val="Normal_number Char"/>
    <w:link w:val="Normalnumber"/>
    <w:locked/>
    <w:rsid w:val="00D113A9"/>
    <w:rPr>
      <w:rFonts w:eastAsiaTheme="minorEastAsia" w:cs="Times New Roman"/>
      <w:szCs w:val="24"/>
    </w:rPr>
  </w:style>
  <w:style w:type="numbering" w:customStyle="1" w:styleId="Normallist">
    <w:name w:val="Normal_list"/>
    <w:rsid w:val="00D113A9"/>
  </w:style>
  <w:style w:type="character" w:customStyle="1" w:styleId="NormalpoolChar">
    <w:name w:val="Normal_pool Char"/>
    <w:link w:val="Normalpool"/>
    <w:locked/>
    <w:rsid w:val="00D113A9"/>
    <w:rPr>
      <w:rFonts w:eastAsiaTheme="minorHAnsi" w:cs="Times New Roman"/>
      <w:sz w:val="22"/>
      <w:szCs w:val="22"/>
      <w:lang w:val="en-GB"/>
    </w:rPr>
  </w:style>
  <w:style w:type="table" w:styleId="TableGrid">
    <w:name w:val="Table Grid"/>
    <w:basedOn w:val="TableNormal"/>
    <w:uiPriority w:val="59"/>
    <w:rsid w:val="00D113A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CharCharChar">
    <w:name w:val="Char1 Char Char Char Char Char Char"/>
    <w:basedOn w:val="Normal"/>
    <w:rsid w:val="00C2111C"/>
    <w:pPr>
      <w:spacing w:after="160" w:line="240" w:lineRule="exact"/>
    </w:pPr>
    <w:rPr>
      <w:rFonts w:ascii="Tahoma" w:hAnsi="Tahoma" w:cs="Times New Roman"/>
      <w:szCs w:val="20"/>
    </w:rPr>
  </w:style>
  <w:style w:type="character" w:customStyle="1" w:styleId="hps">
    <w:name w:val="hps"/>
    <w:rsid w:val="00C2111C"/>
  </w:style>
  <w:style w:type="paragraph" w:customStyle="1" w:styleId="CH2">
    <w:name w:val="CH2"/>
    <w:basedOn w:val="Normal"/>
    <w:next w:val="Normalnumber"/>
    <w:link w:val="CH2Char"/>
    <w:rsid w:val="00C60C8B"/>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pPr>
    <w:rPr>
      <w:rFonts w:cs="Times New Roman"/>
      <w:b/>
      <w:sz w:val="24"/>
      <w:szCs w:val="24"/>
      <w:lang w:val="en-GB"/>
    </w:rPr>
  </w:style>
  <w:style w:type="paragraph" w:customStyle="1" w:styleId="ZZAnxtitle">
    <w:name w:val="ZZ_Anx_title"/>
    <w:basedOn w:val="Normal"/>
    <w:link w:val="ZZAnxtitleChar"/>
    <w:rsid w:val="00C60C8B"/>
    <w:pPr>
      <w:tabs>
        <w:tab w:val="left" w:pos="1247"/>
        <w:tab w:val="left" w:pos="1814"/>
        <w:tab w:val="left" w:pos="2381"/>
        <w:tab w:val="left" w:pos="2948"/>
        <w:tab w:val="left" w:pos="3515"/>
        <w:tab w:val="left" w:pos="4082"/>
      </w:tabs>
      <w:spacing w:before="360" w:after="120"/>
      <w:ind w:left="1247"/>
    </w:pPr>
    <w:rPr>
      <w:rFonts w:cs="Times New Roman"/>
      <w:b/>
      <w:bCs/>
      <w:sz w:val="28"/>
      <w:szCs w:val="26"/>
      <w:lang w:val="en-GB"/>
    </w:rPr>
  </w:style>
  <w:style w:type="character" w:customStyle="1" w:styleId="ZZAnxtitleChar">
    <w:name w:val="ZZ_Anx_title Char"/>
    <w:link w:val="ZZAnxtitle"/>
    <w:rsid w:val="00C60C8B"/>
    <w:rPr>
      <w:rFonts w:cs="Times New Roman"/>
      <w:b/>
      <w:bCs/>
      <w:sz w:val="28"/>
      <w:szCs w:val="26"/>
      <w:lang w:val="en-GB"/>
    </w:rPr>
  </w:style>
  <w:style w:type="character" w:customStyle="1" w:styleId="CH2Char">
    <w:name w:val="CH2 Char"/>
    <w:link w:val="CH2"/>
    <w:locked/>
    <w:rsid w:val="00C60C8B"/>
    <w:rPr>
      <w:rFonts w:cs="Times New Roman"/>
      <w:b/>
      <w:sz w:val="24"/>
      <w:szCs w:val="24"/>
      <w:lang w:val="en-GB"/>
    </w:rPr>
  </w:style>
  <w:style w:type="character" w:customStyle="1" w:styleId="ZZAnxheaderChar">
    <w:name w:val="ZZ_Anx_header Char"/>
    <w:link w:val="ZZAnxheader"/>
    <w:rsid w:val="00C60C8B"/>
    <w:rPr>
      <w:rFonts w:cs="Times New Roman"/>
      <w:b/>
      <w:bCs/>
      <w:sz w:val="28"/>
      <w:szCs w:val="22"/>
      <w:lang w:val="en-GB"/>
    </w:rPr>
  </w:style>
  <w:style w:type="paragraph" w:customStyle="1" w:styleId="CH1">
    <w:name w:val="CH1"/>
    <w:basedOn w:val="Normal"/>
    <w:next w:val="CH2"/>
    <w:rsid w:val="00026893"/>
    <w:pPr>
      <w:keepNext/>
      <w:keepLines/>
      <w:tabs>
        <w:tab w:val="right" w:pos="851"/>
        <w:tab w:val="left" w:pos="1247"/>
        <w:tab w:val="left" w:pos="1814"/>
        <w:tab w:val="left" w:pos="2381"/>
        <w:tab w:val="left" w:pos="2948"/>
        <w:tab w:val="left" w:pos="3515"/>
        <w:tab w:val="left" w:pos="4082"/>
      </w:tabs>
      <w:suppressAutoHyphens/>
      <w:spacing w:before="240" w:after="120"/>
      <w:ind w:left="1247" w:right="284" w:hanging="1247"/>
    </w:pPr>
    <w:rPr>
      <w:rFonts w:eastAsiaTheme="minorHAnsi" w:hAnsiTheme="minorHAnsi" w:hint="cs"/>
      <w:b/>
      <w:sz w:val="28"/>
      <w:szCs w:val="28"/>
      <w:lang w:val="en-GB"/>
    </w:rPr>
  </w:style>
  <w:style w:type="paragraph" w:styleId="CommentText">
    <w:name w:val="annotation text"/>
    <w:basedOn w:val="Normal"/>
    <w:link w:val="CommentTextChar"/>
    <w:unhideWhenUsed/>
    <w:rsid w:val="005034F7"/>
    <w:rPr>
      <w:szCs w:val="20"/>
    </w:rPr>
  </w:style>
  <w:style w:type="character" w:customStyle="1" w:styleId="CommentTextChar">
    <w:name w:val="Comment Text Char"/>
    <w:basedOn w:val="DefaultParagraphFont"/>
    <w:link w:val="CommentText"/>
    <w:rsid w:val="005034F7"/>
  </w:style>
  <w:style w:type="character" w:styleId="CommentReference">
    <w:name w:val="annotation reference"/>
    <w:basedOn w:val="DefaultParagraphFont"/>
    <w:unhideWhenUsed/>
    <w:rsid w:val="005034F7"/>
    <w:rPr>
      <w:sz w:val="16"/>
      <w:szCs w:val="16"/>
    </w:rPr>
  </w:style>
  <w:style w:type="character" w:customStyle="1" w:styleId="st">
    <w:name w:val="st"/>
    <w:basedOn w:val="DefaultParagraphFont"/>
    <w:rsid w:val="005034F7"/>
  </w:style>
  <w:style w:type="character" w:styleId="Emphasis">
    <w:name w:val="Emphasis"/>
    <w:basedOn w:val="DefaultParagraphFont"/>
    <w:qFormat/>
    <w:rsid w:val="005034F7"/>
    <w:rPr>
      <w:i/>
      <w:iCs/>
    </w:rPr>
  </w:style>
  <w:style w:type="character" w:styleId="HTMLCite">
    <w:name w:val="HTML Cite"/>
    <w:basedOn w:val="DefaultParagraphFont"/>
    <w:uiPriority w:val="99"/>
    <w:semiHidden/>
    <w:unhideWhenUsed/>
    <w:rsid w:val="005034F7"/>
    <w:rPr>
      <w:i/>
      <w:iCs/>
    </w:rPr>
  </w:style>
  <w:style w:type="numbering" w:customStyle="1" w:styleId="Normallist1">
    <w:name w:val="Normal_list1"/>
    <w:basedOn w:val="NoList"/>
    <w:semiHidden/>
    <w:rsid w:val="007917FF"/>
  </w:style>
  <w:style w:type="numbering" w:customStyle="1" w:styleId="Normallist2">
    <w:name w:val="Normal_list2"/>
    <w:basedOn w:val="NoList"/>
    <w:semiHidden/>
    <w:rsid w:val="008D0608"/>
  </w:style>
  <w:style w:type="character" w:customStyle="1" w:styleId="Heading1Char">
    <w:name w:val="Heading 1 Char"/>
    <w:basedOn w:val="DefaultParagraphFont"/>
    <w:link w:val="Heading1"/>
    <w:rsid w:val="00A90DAF"/>
    <w:rPr>
      <w:szCs w:val="30"/>
      <w:u w:val="single"/>
    </w:rPr>
  </w:style>
  <w:style w:type="character" w:customStyle="1" w:styleId="Heading2Char">
    <w:name w:val="Heading 2 Char"/>
    <w:basedOn w:val="DefaultParagraphFont"/>
    <w:link w:val="Heading2"/>
    <w:rsid w:val="00A90DAF"/>
    <w:rPr>
      <w:szCs w:val="30"/>
      <w:u w:val="single"/>
    </w:rPr>
  </w:style>
  <w:style w:type="character" w:customStyle="1" w:styleId="Heading3Char">
    <w:name w:val="Heading 3 Char"/>
    <w:basedOn w:val="DefaultParagraphFont"/>
    <w:link w:val="Heading3"/>
    <w:rsid w:val="00A90DAF"/>
    <w:rPr>
      <w:szCs w:val="30"/>
      <w:u w:val="single"/>
    </w:rPr>
  </w:style>
  <w:style w:type="character" w:customStyle="1" w:styleId="Heading4Char">
    <w:name w:val="Heading 4 Char"/>
    <w:basedOn w:val="DefaultParagraphFont"/>
    <w:link w:val="Heading4"/>
    <w:rsid w:val="00A90DAF"/>
    <w:rPr>
      <w:szCs w:val="30"/>
    </w:rPr>
  </w:style>
  <w:style w:type="character" w:customStyle="1" w:styleId="Heading5Char">
    <w:name w:val="Heading 5 Char"/>
    <w:basedOn w:val="DefaultParagraphFont"/>
    <w:link w:val="Heading5"/>
    <w:rsid w:val="00A90DAF"/>
    <w:rPr>
      <w:rFonts w:ascii="Times" w:hAnsi="Times" w:cs="Arabic Transparent"/>
      <w:b/>
      <w:bCs/>
      <w:noProof/>
      <w:szCs w:val="44"/>
    </w:rPr>
  </w:style>
  <w:style w:type="character" w:customStyle="1" w:styleId="Heading6Char">
    <w:name w:val="Heading 6 Char"/>
    <w:basedOn w:val="DefaultParagraphFont"/>
    <w:link w:val="Heading6"/>
    <w:rsid w:val="00A90DAF"/>
    <w:rPr>
      <w:szCs w:val="30"/>
      <w:u w:val="single"/>
    </w:rPr>
  </w:style>
  <w:style w:type="character" w:customStyle="1" w:styleId="Heading7Char">
    <w:name w:val="Heading 7 Char"/>
    <w:basedOn w:val="DefaultParagraphFont"/>
    <w:link w:val="Heading7"/>
    <w:rsid w:val="00A90DAF"/>
    <w:rPr>
      <w:rFonts w:ascii="Times" w:hAnsi="Times"/>
      <w:b/>
      <w:bCs/>
      <w:noProof/>
      <w:szCs w:val="30"/>
    </w:rPr>
  </w:style>
  <w:style w:type="character" w:customStyle="1" w:styleId="Heading8Char">
    <w:name w:val="Heading 8 Char"/>
    <w:basedOn w:val="DefaultParagraphFont"/>
    <w:link w:val="Heading8"/>
    <w:rsid w:val="00A90DAF"/>
    <w:rPr>
      <w:b/>
      <w:bCs/>
      <w:sz w:val="30"/>
      <w:szCs w:val="30"/>
    </w:rPr>
  </w:style>
  <w:style w:type="character" w:customStyle="1" w:styleId="Heading9Char">
    <w:name w:val="Heading 9 Char"/>
    <w:basedOn w:val="DefaultParagraphFont"/>
    <w:link w:val="Heading9"/>
    <w:rsid w:val="00A90DAF"/>
    <w:rPr>
      <w:rFonts w:ascii="Times" w:hAnsi="Times"/>
      <w:b/>
      <w:bCs/>
      <w:noProof/>
      <w:szCs w:val="30"/>
      <w:u w:val="single"/>
    </w:rPr>
  </w:style>
  <w:style w:type="character" w:customStyle="1" w:styleId="HeaderChar">
    <w:name w:val="Header Char"/>
    <w:basedOn w:val="DefaultParagraphFont"/>
    <w:link w:val="Header"/>
    <w:rsid w:val="00A90DAF"/>
    <w:rPr>
      <w:rFonts w:ascii="Times" w:hAnsi="Times"/>
      <w:noProof/>
      <w:szCs w:val="24"/>
    </w:rPr>
  </w:style>
  <w:style w:type="character" w:customStyle="1" w:styleId="FooterChar">
    <w:name w:val="Footer Char"/>
    <w:basedOn w:val="DefaultParagraphFont"/>
    <w:link w:val="Footer"/>
    <w:uiPriority w:val="99"/>
    <w:rsid w:val="00A90DAF"/>
    <w:rPr>
      <w:rFonts w:ascii="Times" w:hAnsi="Times"/>
      <w:noProof/>
      <w:szCs w:val="24"/>
    </w:rPr>
  </w:style>
  <w:style w:type="character" w:customStyle="1" w:styleId="BodyTextChar">
    <w:name w:val="Body Text Char"/>
    <w:basedOn w:val="DefaultParagraphFont"/>
    <w:link w:val="BodyText"/>
    <w:rsid w:val="00A90DAF"/>
    <w:rPr>
      <w:rFonts w:ascii="Times" w:hAnsi="Times"/>
      <w:szCs w:val="30"/>
    </w:rPr>
  </w:style>
  <w:style w:type="character" w:customStyle="1" w:styleId="BodyText2Char">
    <w:name w:val="Body Text 2 Char"/>
    <w:basedOn w:val="DefaultParagraphFont"/>
    <w:link w:val="BodyText2"/>
    <w:rsid w:val="00A90DAF"/>
    <w:rPr>
      <w:rFonts w:ascii="Times" w:hAnsi="Times"/>
      <w:noProof/>
      <w:sz w:val="28"/>
      <w:szCs w:val="30"/>
    </w:rPr>
  </w:style>
  <w:style w:type="numbering" w:customStyle="1" w:styleId="Normallist3">
    <w:name w:val="Normal_list3"/>
    <w:rsid w:val="00A90DAF"/>
  </w:style>
  <w:style w:type="table" w:customStyle="1" w:styleId="Tabledocright">
    <w:name w:val="Table_doc_right"/>
    <w:basedOn w:val="TableNormal"/>
    <w:rsid w:val="00A90DAF"/>
    <w:pPr>
      <w:spacing w:before="40" w:after="40"/>
    </w:pPr>
    <w:rPr>
      <w:rFonts w:cs="Times New Roman"/>
      <w:sz w:val="18"/>
      <w:szCs w:val="18"/>
      <w:lang w:val="en-GB" w:eastAsia="zh-CN"/>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A90DAF"/>
    <w:pPr>
      <w:tabs>
        <w:tab w:val="left" w:pos="1247"/>
      </w:tabs>
      <w:ind w:left="1000"/>
    </w:pPr>
    <w:rPr>
      <w:rFonts w:hint="cs"/>
      <w:sz w:val="18"/>
      <w:szCs w:val="18"/>
      <w:lang w:val="en-GB"/>
    </w:rPr>
  </w:style>
  <w:style w:type="paragraph" w:styleId="TOC7">
    <w:name w:val="toc 7"/>
    <w:basedOn w:val="Normal"/>
    <w:next w:val="Normal"/>
    <w:autoRedefine/>
    <w:semiHidden/>
    <w:rsid w:val="00A90DAF"/>
    <w:pPr>
      <w:tabs>
        <w:tab w:val="left" w:pos="1247"/>
      </w:tabs>
      <w:ind w:left="1200"/>
    </w:pPr>
    <w:rPr>
      <w:rFonts w:hint="cs"/>
      <w:sz w:val="18"/>
      <w:szCs w:val="18"/>
      <w:lang w:val="en-GB"/>
    </w:rPr>
  </w:style>
  <w:style w:type="paragraph" w:styleId="TOC8">
    <w:name w:val="toc 8"/>
    <w:basedOn w:val="Normal"/>
    <w:next w:val="Normal"/>
    <w:autoRedefine/>
    <w:semiHidden/>
    <w:rsid w:val="00A90DAF"/>
    <w:pPr>
      <w:tabs>
        <w:tab w:val="left" w:pos="1247"/>
      </w:tabs>
      <w:ind w:left="1400"/>
    </w:pPr>
    <w:rPr>
      <w:rFonts w:hint="cs"/>
      <w:sz w:val="18"/>
      <w:szCs w:val="18"/>
      <w:lang w:val="en-GB"/>
    </w:rPr>
  </w:style>
  <w:style w:type="paragraph" w:styleId="TOC9">
    <w:name w:val="toc 9"/>
    <w:basedOn w:val="Normal"/>
    <w:next w:val="Normal"/>
    <w:autoRedefine/>
    <w:semiHidden/>
    <w:rsid w:val="00A90DAF"/>
    <w:pPr>
      <w:tabs>
        <w:tab w:val="left" w:pos="1247"/>
      </w:tabs>
      <w:ind w:left="1600"/>
    </w:pPr>
    <w:rPr>
      <w:rFonts w:hint="cs"/>
      <w:sz w:val="18"/>
      <w:szCs w:val="18"/>
      <w:lang w:val="en-GB"/>
    </w:rPr>
  </w:style>
  <w:style w:type="paragraph" w:customStyle="1" w:styleId="Titlefigure">
    <w:name w:val="Title_figure"/>
    <w:basedOn w:val="Titletable"/>
    <w:next w:val="NormalNonumber"/>
    <w:rsid w:val="00A90DAF"/>
    <w:rPr>
      <w:bCs w:val="0"/>
    </w:rPr>
  </w:style>
  <w:style w:type="paragraph" w:styleId="TableofFigures">
    <w:name w:val="table of figures"/>
    <w:basedOn w:val="Normal"/>
    <w:next w:val="Normal"/>
    <w:autoRedefine/>
    <w:semiHidden/>
    <w:rsid w:val="00A90DAF"/>
    <w:pPr>
      <w:tabs>
        <w:tab w:val="left" w:pos="1247"/>
      </w:tabs>
      <w:ind w:left="1814" w:hanging="567"/>
    </w:pPr>
    <w:rPr>
      <w:rFonts w:hint="cs"/>
      <w:lang w:val="en-GB"/>
    </w:rPr>
  </w:style>
  <w:style w:type="paragraph" w:customStyle="1" w:styleId="CH3">
    <w:name w:val="CH3"/>
    <w:basedOn w:val="Normalpool"/>
    <w:next w:val="Normalnumber"/>
    <w:rsid w:val="00A90DAF"/>
    <w:pPr>
      <w:keepNext/>
      <w:keepLines/>
      <w:tabs>
        <w:tab w:val="clear" w:pos="1253"/>
        <w:tab w:val="clear" w:pos="2376"/>
        <w:tab w:val="clear" w:pos="2952"/>
        <w:tab w:val="clear" w:pos="3514"/>
        <w:tab w:val="right" w:pos="851"/>
        <w:tab w:val="left" w:pos="1247"/>
        <w:tab w:val="left" w:pos="2381"/>
        <w:tab w:val="left" w:pos="2948"/>
        <w:tab w:val="left" w:pos="3515"/>
        <w:tab w:val="left" w:pos="4082"/>
      </w:tabs>
      <w:suppressAutoHyphens/>
      <w:spacing w:after="120"/>
      <w:ind w:left="1247" w:right="284" w:hanging="1247"/>
    </w:pPr>
    <w:rPr>
      <w:rFonts w:eastAsia="Times New Roman"/>
      <w:b/>
      <w:sz w:val="20"/>
      <w:szCs w:val="20"/>
    </w:rPr>
  </w:style>
  <w:style w:type="paragraph" w:customStyle="1" w:styleId="CH4">
    <w:name w:val="CH4"/>
    <w:basedOn w:val="Normalpool"/>
    <w:next w:val="Normalnumber"/>
    <w:rsid w:val="00A90DAF"/>
    <w:pPr>
      <w:keepNext/>
      <w:keepLines/>
      <w:tabs>
        <w:tab w:val="clear" w:pos="1253"/>
        <w:tab w:val="clear" w:pos="2376"/>
        <w:tab w:val="clear" w:pos="2952"/>
        <w:tab w:val="clear" w:pos="3514"/>
        <w:tab w:val="right" w:pos="851"/>
        <w:tab w:val="left" w:pos="1247"/>
        <w:tab w:val="left" w:pos="2381"/>
        <w:tab w:val="left" w:pos="2948"/>
        <w:tab w:val="left" w:pos="3515"/>
        <w:tab w:val="left" w:pos="4082"/>
      </w:tabs>
      <w:suppressAutoHyphens/>
      <w:spacing w:after="120"/>
      <w:ind w:left="1247" w:right="284" w:hanging="1247"/>
    </w:pPr>
    <w:rPr>
      <w:rFonts w:eastAsia="Times New Roman"/>
      <w:b/>
      <w:sz w:val="20"/>
      <w:szCs w:val="20"/>
    </w:rPr>
  </w:style>
  <w:style w:type="table" w:customStyle="1" w:styleId="Footertable">
    <w:name w:val="Footer_table"/>
    <w:basedOn w:val="TableNormal"/>
    <w:semiHidden/>
    <w:rsid w:val="00A90DAF"/>
    <w:rPr>
      <w:rFonts w:ascii="Arial" w:hAnsi="Arial" w:cs="Times New Roman"/>
      <w:sz w:val="16"/>
      <w:lang w:val="en-GB" w:eastAsia="zh-CN"/>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A90DAF"/>
    <w:pPr>
      <w:keepNext/>
      <w:keepLines/>
      <w:tabs>
        <w:tab w:val="clear" w:pos="1253"/>
        <w:tab w:val="clear" w:pos="2376"/>
        <w:tab w:val="clear" w:pos="2952"/>
        <w:tab w:val="clear" w:pos="3514"/>
        <w:tab w:val="right" w:pos="851"/>
        <w:tab w:val="left" w:pos="1247"/>
        <w:tab w:val="left" w:pos="2381"/>
        <w:tab w:val="left" w:pos="2948"/>
        <w:tab w:val="left" w:pos="3515"/>
        <w:tab w:val="left" w:pos="4082"/>
      </w:tabs>
      <w:suppressAutoHyphens/>
      <w:spacing w:after="120"/>
      <w:ind w:left="1247" w:right="284" w:hanging="1247"/>
    </w:pPr>
    <w:rPr>
      <w:rFonts w:eastAsia="Times New Roman"/>
      <w:b/>
      <w:sz w:val="20"/>
      <w:szCs w:val="20"/>
    </w:rPr>
  </w:style>
  <w:style w:type="paragraph" w:customStyle="1" w:styleId="Footerpool">
    <w:name w:val="Footer_pool"/>
    <w:basedOn w:val="Normal"/>
    <w:next w:val="Normal"/>
    <w:semiHidden/>
    <w:rsid w:val="00A90DAF"/>
    <w:pPr>
      <w:tabs>
        <w:tab w:val="left" w:pos="1247"/>
        <w:tab w:val="left" w:pos="1814"/>
        <w:tab w:val="left" w:pos="2381"/>
        <w:tab w:val="left" w:pos="2948"/>
        <w:tab w:val="left" w:pos="3515"/>
        <w:tab w:val="left" w:pos="4321"/>
        <w:tab w:val="right" w:pos="8641"/>
      </w:tabs>
      <w:spacing w:before="60" w:after="120"/>
    </w:pPr>
    <w:rPr>
      <w:rFonts w:hint="cs"/>
      <w:b/>
      <w:sz w:val="18"/>
      <w:lang w:val="en-GB"/>
    </w:rPr>
  </w:style>
  <w:style w:type="paragraph" w:customStyle="1" w:styleId="Headerpool">
    <w:name w:val="Header_pool"/>
    <w:basedOn w:val="Normal"/>
    <w:next w:val="Normal"/>
    <w:semiHidden/>
    <w:rsid w:val="00A90DAF"/>
    <w:pPr>
      <w:pBdr>
        <w:bottom w:val="single" w:sz="4" w:space="1" w:color="auto"/>
      </w:pBdr>
      <w:tabs>
        <w:tab w:val="left" w:pos="1247"/>
        <w:tab w:val="center" w:pos="4536"/>
        <w:tab w:val="right" w:pos="9072"/>
      </w:tabs>
      <w:spacing w:after="120"/>
    </w:pPr>
    <w:rPr>
      <w:rFonts w:hint="cs"/>
      <w:b/>
      <w:sz w:val="18"/>
      <w:lang w:val="en-GB"/>
    </w:rPr>
  </w:style>
  <w:style w:type="paragraph" w:customStyle="1" w:styleId="Footer-pool">
    <w:name w:val="Footer-pool"/>
    <w:basedOn w:val="Normal-pool"/>
    <w:next w:val="Normal-pool"/>
    <w:rsid w:val="00A90DAF"/>
    <w:pPr>
      <w:tabs>
        <w:tab w:val="left" w:pos="4082"/>
        <w:tab w:val="left" w:pos="4321"/>
        <w:tab w:val="right" w:pos="8641"/>
      </w:tabs>
      <w:spacing w:before="60" w:after="120"/>
    </w:pPr>
    <w:rPr>
      <w:b/>
      <w:sz w:val="18"/>
      <w:szCs w:val="20"/>
    </w:rPr>
  </w:style>
  <w:style w:type="paragraph" w:customStyle="1" w:styleId="Header-pool">
    <w:name w:val="Header-pool"/>
    <w:basedOn w:val="Normal-pool"/>
    <w:next w:val="Normal-pool"/>
    <w:rsid w:val="00A90DAF"/>
    <w:pPr>
      <w:pBdr>
        <w:bottom w:val="single" w:sz="4" w:space="1" w:color="auto"/>
      </w:pBdr>
      <w:tabs>
        <w:tab w:val="clear" w:pos="1814"/>
        <w:tab w:val="clear" w:pos="2381"/>
        <w:tab w:val="clear" w:pos="2948"/>
        <w:tab w:val="clear" w:pos="3515"/>
        <w:tab w:val="left" w:pos="4082"/>
        <w:tab w:val="center" w:pos="4536"/>
        <w:tab w:val="right" w:pos="9072"/>
      </w:tabs>
      <w:spacing w:after="120"/>
    </w:pPr>
    <w:rPr>
      <w:b/>
      <w:sz w:val="18"/>
      <w:szCs w:val="20"/>
    </w:rPr>
  </w:style>
  <w:style w:type="paragraph" w:styleId="CommentSubject">
    <w:name w:val="annotation subject"/>
    <w:basedOn w:val="CommentText"/>
    <w:next w:val="CommentText"/>
    <w:link w:val="CommentSubjectChar"/>
    <w:rsid w:val="00A90DAF"/>
    <w:pPr>
      <w:tabs>
        <w:tab w:val="left" w:pos="1247"/>
        <w:tab w:val="left" w:pos="1814"/>
        <w:tab w:val="left" w:pos="2381"/>
        <w:tab w:val="left" w:pos="2948"/>
        <w:tab w:val="left" w:pos="3515"/>
      </w:tabs>
    </w:pPr>
    <w:rPr>
      <w:rFonts w:hint="cs"/>
      <w:b/>
      <w:bCs/>
      <w:szCs w:val="30"/>
      <w:lang w:val="en-GB"/>
    </w:rPr>
  </w:style>
  <w:style w:type="character" w:customStyle="1" w:styleId="CommentSubjectChar">
    <w:name w:val="Comment Subject Char"/>
    <w:basedOn w:val="CommentTextChar"/>
    <w:link w:val="CommentSubject"/>
    <w:rsid w:val="00A90DAF"/>
    <w:rPr>
      <w:b/>
      <w:bCs/>
      <w:szCs w:val="30"/>
      <w:lang w:val="en-GB"/>
    </w:rPr>
  </w:style>
  <w:style w:type="table" w:customStyle="1" w:styleId="AATable">
    <w:name w:val="AA_Table"/>
    <w:basedOn w:val="TableNormal"/>
    <w:semiHidden/>
    <w:rsid w:val="00A90DAF"/>
    <w:rPr>
      <w:rFonts w:cs="Times New Roman"/>
      <w:lang w:val="en-GB" w:eastAsia="zh-CN"/>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A90DAF"/>
    <w:pPr>
      <w:keepNext/>
      <w:keepLines/>
      <w:tabs>
        <w:tab w:val="clear" w:pos="1253"/>
        <w:tab w:val="clear" w:pos="2376"/>
        <w:tab w:val="clear" w:pos="2952"/>
        <w:tab w:val="clear" w:pos="3514"/>
        <w:tab w:val="left" w:pos="1247"/>
        <w:tab w:val="left" w:pos="2381"/>
        <w:tab w:val="left" w:pos="2948"/>
        <w:tab w:val="left" w:pos="3515"/>
        <w:tab w:val="left" w:pos="4082"/>
      </w:tabs>
      <w:suppressAutoHyphens/>
      <w:ind w:right="5103"/>
    </w:pPr>
    <w:rPr>
      <w:rFonts w:eastAsia="Times New Roman"/>
      <w:b/>
      <w:sz w:val="20"/>
      <w:szCs w:val="20"/>
    </w:rPr>
  </w:style>
  <w:style w:type="paragraph" w:customStyle="1" w:styleId="AATitle2">
    <w:name w:val="AA_Title2"/>
    <w:basedOn w:val="AATitle"/>
    <w:rsid w:val="00A90DAF"/>
    <w:pPr>
      <w:tabs>
        <w:tab w:val="clear" w:pos="4082"/>
      </w:tabs>
      <w:spacing w:before="120" w:after="120"/>
      <w:ind w:right="4536"/>
    </w:pPr>
  </w:style>
  <w:style w:type="paragraph" w:customStyle="1" w:styleId="BBTitle">
    <w:name w:val="BB_Title"/>
    <w:basedOn w:val="Normalpool"/>
    <w:link w:val="BBTitleChar"/>
    <w:rsid w:val="00A90DAF"/>
    <w:pPr>
      <w:keepNext/>
      <w:keepLines/>
      <w:tabs>
        <w:tab w:val="clear" w:pos="1253"/>
        <w:tab w:val="clear" w:pos="2376"/>
        <w:tab w:val="clear" w:pos="2952"/>
        <w:tab w:val="clear" w:pos="3514"/>
        <w:tab w:val="left" w:pos="1247"/>
        <w:tab w:val="left" w:pos="2381"/>
        <w:tab w:val="left" w:pos="2948"/>
        <w:tab w:val="left" w:pos="3515"/>
        <w:tab w:val="left" w:pos="4082"/>
      </w:tabs>
      <w:suppressAutoHyphens/>
      <w:spacing w:before="320" w:after="240"/>
      <w:ind w:left="1247" w:right="567"/>
    </w:pPr>
    <w:rPr>
      <w:rFonts w:eastAsia="Times New Roman"/>
      <w:b/>
      <w:sz w:val="28"/>
      <w:szCs w:val="28"/>
    </w:rPr>
  </w:style>
  <w:style w:type="paragraph" w:customStyle="1" w:styleId="NormalNonumber">
    <w:name w:val="Normal_No_number"/>
    <w:basedOn w:val="Normalpool"/>
    <w:rsid w:val="00A90DAF"/>
    <w:pPr>
      <w:tabs>
        <w:tab w:val="clear" w:pos="1253"/>
        <w:tab w:val="clear" w:pos="2376"/>
        <w:tab w:val="clear" w:pos="2952"/>
        <w:tab w:val="clear" w:pos="3514"/>
        <w:tab w:val="left" w:pos="1247"/>
        <w:tab w:val="left" w:pos="2381"/>
        <w:tab w:val="left" w:pos="2948"/>
        <w:tab w:val="left" w:pos="3515"/>
        <w:tab w:val="left" w:pos="4082"/>
      </w:tabs>
      <w:spacing w:after="120"/>
      <w:ind w:left="1247"/>
    </w:pPr>
    <w:rPr>
      <w:rFonts w:eastAsia="Times New Roman"/>
      <w:sz w:val="20"/>
      <w:szCs w:val="20"/>
    </w:rPr>
  </w:style>
  <w:style w:type="paragraph" w:customStyle="1" w:styleId="Titletable">
    <w:name w:val="Title_table"/>
    <w:basedOn w:val="Normalpool"/>
    <w:rsid w:val="00A90DAF"/>
    <w:pPr>
      <w:keepNext/>
      <w:keepLines/>
      <w:tabs>
        <w:tab w:val="clear" w:pos="1253"/>
        <w:tab w:val="clear" w:pos="2376"/>
        <w:tab w:val="clear" w:pos="2952"/>
        <w:tab w:val="clear" w:pos="3514"/>
        <w:tab w:val="left" w:pos="1247"/>
        <w:tab w:val="left" w:pos="2381"/>
        <w:tab w:val="left" w:pos="2948"/>
        <w:tab w:val="left" w:pos="3515"/>
        <w:tab w:val="left" w:pos="4082"/>
      </w:tabs>
      <w:suppressAutoHyphens/>
      <w:spacing w:after="60"/>
      <w:ind w:left="1247"/>
    </w:pPr>
    <w:rPr>
      <w:rFonts w:eastAsia="Times New Roman"/>
      <w:b/>
      <w:bCs/>
      <w:sz w:val="20"/>
      <w:szCs w:val="20"/>
    </w:rPr>
  </w:style>
  <w:style w:type="paragraph" w:styleId="TOC1">
    <w:name w:val="toc 1"/>
    <w:basedOn w:val="Normalpool"/>
    <w:next w:val="Normalpool"/>
    <w:uiPriority w:val="39"/>
    <w:rsid w:val="00A90DAF"/>
    <w:pPr>
      <w:tabs>
        <w:tab w:val="clear" w:pos="1253"/>
        <w:tab w:val="clear" w:pos="2376"/>
        <w:tab w:val="clear" w:pos="2952"/>
        <w:tab w:val="clear" w:pos="3514"/>
        <w:tab w:val="left" w:pos="1247"/>
        <w:tab w:val="right" w:leader="dot" w:pos="9486"/>
      </w:tabs>
      <w:spacing w:before="240"/>
      <w:ind w:left="1814" w:hanging="567"/>
    </w:pPr>
    <w:rPr>
      <w:rFonts w:eastAsia="Times New Roman"/>
      <w:bCs/>
      <w:sz w:val="20"/>
      <w:szCs w:val="20"/>
      <w:lang w:val="fr-FR"/>
    </w:rPr>
  </w:style>
  <w:style w:type="paragraph" w:styleId="TOC2">
    <w:name w:val="toc 2"/>
    <w:basedOn w:val="Normalpool"/>
    <w:next w:val="Normalpool"/>
    <w:uiPriority w:val="39"/>
    <w:rsid w:val="00A90DAF"/>
    <w:pPr>
      <w:tabs>
        <w:tab w:val="clear" w:pos="1253"/>
        <w:tab w:val="clear" w:pos="1814"/>
        <w:tab w:val="clear" w:pos="2376"/>
        <w:tab w:val="clear" w:pos="2952"/>
        <w:tab w:val="clear" w:pos="3514"/>
        <w:tab w:val="left" w:pos="1247"/>
        <w:tab w:val="left" w:pos="2381"/>
        <w:tab w:val="right" w:leader="dot" w:pos="9486"/>
      </w:tabs>
      <w:ind w:left="2381" w:hanging="567"/>
    </w:pPr>
    <w:rPr>
      <w:rFonts w:eastAsia="Times New Roman"/>
      <w:sz w:val="20"/>
      <w:szCs w:val="20"/>
      <w:lang w:val="fr-FR"/>
    </w:rPr>
  </w:style>
  <w:style w:type="paragraph" w:styleId="TOC3">
    <w:name w:val="toc 3"/>
    <w:basedOn w:val="Normalpool"/>
    <w:next w:val="Normalpool"/>
    <w:uiPriority w:val="39"/>
    <w:rsid w:val="00A90DAF"/>
    <w:pPr>
      <w:tabs>
        <w:tab w:val="clear" w:pos="1253"/>
        <w:tab w:val="clear" w:pos="1814"/>
        <w:tab w:val="clear" w:pos="2376"/>
        <w:tab w:val="clear" w:pos="2952"/>
        <w:tab w:val="clear" w:pos="3514"/>
        <w:tab w:val="left" w:pos="1247"/>
        <w:tab w:val="left" w:pos="4082"/>
        <w:tab w:val="right" w:leader="dot" w:pos="9486"/>
      </w:tabs>
      <w:ind w:left="2948" w:hanging="567"/>
    </w:pPr>
    <w:rPr>
      <w:rFonts w:eastAsia="Times New Roman"/>
      <w:iCs/>
      <w:sz w:val="20"/>
      <w:szCs w:val="20"/>
      <w:lang w:val="fr-FR"/>
    </w:rPr>
  </w:style>
  <w:style w:type="paragraph" w:styleId="TOC4">
    <w:name w:val="toc 4"/>
    <w:basedOn w:val="Normalpool"/>
    <w:next w:val="Normalpool"/>
    <w:rsid w:val="00A90DAF"/>
    <w:pPr>
      <w:tabs>
        <w:tab w:val="clear" w:pos="1253"/>
        <w:tab w:val="clear" w:pos="1814"/>
        <w:tab w:val="clear" w:pos="2376"/>
        <w:tab w:val="clear" w:pos="2952"/>
        <w:tab w:val="clear" w:pos="3514"/>
        <w:tab w:val="left" w:pos="1000"/>
        <w:tab w:val="left" w:pos="1247"/>
        <w:tab w:val="left" w:pos="4082"/>
        <w:tab w:val="right" w:leader="dot" w:pos="9486"/>
      </w:tabs>
      <w:ind w:left="3515" w:hanging="567"/>
    </w:pPr>
    <w:rPr>
      <w:rFonts w:eastAsia="Times New Roman"/>
      <w:sz w:val="20"/>
      <w:szCs w:val="18"/>
      <w:lang w:val="fr-FR"/>
    </w:rPr>
  </w:style>
  <w:style w:type="paragraph" w:styleId="TOC5">
    <w:name w:val="toc 5"/>
    <w:basedOn w:val="Normal"/>
    <w:next w:val="Normal"/>
    <w:autoRedefine/>
    <w:semiHidden/>
    <w:rsid w:val="00A90DAF"/>
    <w:pPr>
      <w:tabs>
        <w:tab w:val="left" w:pos="1247"/>
      </w:tabs>
      <w:ind w:left="800"/>
    </w:pPr>
    <w:rPr>
      <w:rFonts w:hint="cs"/>
      <w:sz w:val="18"/>
      <w:szCs w:val="18"/>
      <w:lang w:val="en-GB"/>
    </w:rPr>
  </w:style>
  <w:style w:type="paragraph" w:styleId="Revision">
    <w:name w:val="Revision"/>
    <w:hidden/>
    <w:uiPriority w:val="99"/>
    <w:semiHidden/>
    <w:rsid w:val="00A90DAF"/>
    <w:rPr>
      <w:rFonts w:cs="Times New Roman"/>
      <w:lang w:val="en-GB"/>
    </w:rPr>
  </w:style>
  <w:style w:type="character" w:customStyle="1" w:styleId="BBTitleChar">
    <w:name w:val="BB_Title Char"/>
    <w:link w:val="BBTitle"/>
    <w:rsid w:val="00A90DAF"/>
    <w:rPr>
      <w:rFonts w:cs="Times New Roman"/>
      <w:b/>
      <w:sz w:val="28"/>
      <w:szCs w:val="28"/>
      <w:lang w:val="en-GB"/>
    </w:rPr>
  </w:style>
  <w:style w:type="paragraph" w:styleId="NormalWeb">
    <w:name w:val="Normal (Web)"/>
    <w:basedOn w:val="Normal"/>
    <w:uiPriority w:val="99"/>
    <w:unhideWhenUsed/>
    <w:rsid w:val="00A90DAF"/>
    <w:pPr>
      <w:spacing w:before="100" w:beforeAutospacing="1" w:after="100" w:afterAutospacing="1"/>
    </w:pPr>
    <w:rPr>
      <w:rFonts w:eastAsiaTheme="minorEastAsia" w:hint="cs"/>
      <w:sz w:val="24"/>
      <w:szCs w:val="24"/>
      <w:lang w:val="en-GB" w:eastAsia="en-GB"/>
    </w:rPr>
  </w:style>
  <w:style w:type="numbering" w:customStyle="1" w:styleId="Normallist4">
    <w:name w:val="Normal_list4"/>
    <w:rsid w:val="001E72E3"/>
    <w:pPr>
      <w:numPr>
        <w:numId w:val="23"/>
      </w:numPr>
    </w:pPr>
  </w:style>
  <w:style w:type="numbering" w:customStyle="1" w:styleId="Normallist5">
    <w:name w:val="Normal_list5"/>
    <w:basedOn w:val="NoList"/>
    <w:rsid w:val="00567C29"/>
    <w:pPr>
      <w:numPr>
        <w:numId w:val="2"/>
      </w:numPr>
    </w:pPr>
  </w:style>
  <w:style w:type="paragraph" w:customStyle="1" w:styleId="Text">
    <w:name w:val="Text"/>
    <w:rsid w:val="00567C29"/>
    <w:pPr>
      <w:pBdr>
        <w:top w:val="nil"/>
        <w:left w:val="nil"/>
        <w:bottom w:val="nil"/>
        <w:right w:val="nil"/>
        <w:between w:val="nil"/>
        <w:bar w:val="nil"/>
      </w:pBdr>
      <w:suppressAutoHyphens/>
    </w:pPr>
    <w:rPr>
      <w:rFonts w:eastAsia="Arial Unicode MS" w:cs="Arial Unicode MS"/>
      <w:color w:val="000000"/>
      <w:u w:color="000000"/>
      <w:bdr w:val="nil"/>
      <w:lang w:eastAsia="zh-CN"/>
    </w:rPr>
  </w:style>
  <w:style w:type="numbering" w:customStyle="1" w:styleId="Importovanstyl6">
    <w:name w:val="Importovaný styl 6"/>
    <w:rsid w:val="00567C29"/>
    <w:pPr>
      <w:numPr>
        <w:numId w:val="18"/>
      </w:numPr>
    </w:pPr>
  </w:style>
  <w:style w:type="paragraph" w:styleId="TOCHeading">
    <w:name w:val="TOC Heading"/>
    <w:basedOn w:val="Heading1"/>
    <w:next w:val="Normal"/>
    <w:uiPriority w:val="39"/>
    <w:unhideWhenUsed/>
    <w:qFormat/>
    <w:rsid w:val="006172B9"/>
    <w:pPr>
      <w:keepLines/>
      <w:spacing w:before="240" w:after="0" w:line="259" w:lineRule="auto"/>
      <w:jc w:val="left"/>
      <w:outlineLvl w:val="9"/>
    </w:pPr>
    <w:rPr>
      <w:rFonts w:asciiTheme="majorHAnsi" w:eastAsiaTheme="majorEastAsia" w:hAnsiTheme="majorHAnsi" w:cstheme="majorBidi"/>
      <w:color w:val="365F91" w:themeColor="accent1" w:themeShade="BF"/>
      <w:sz w:val="32"/>
      <w:szCs w:val="3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702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1F72E0-4F19-4AD0-9114-B5570A94C1BA}">
  <ds:schemaRefs>
    <ds:schemaRef ds:uri="http://schemas.openxmlformats.org/officeDocument/2006/bibliography"/>
  </ds:schemaRefs>
</ds:datastoreItem>
</file>

<file path=customXml/itemProps2.xml><?xml version="1.0" encoding="utf-8"?>
<ds:datastoreItem xmlns:ds="http://schemas.openxmlformats.org/officeDocument/2006/customXml" ds:itemID="{92CF2088-496F-47A4-9150-DF0AAAD31214}"/>
</file>

<file path=customXml/itemProps3.xml><?xml version="1.0" encoding="utf-8"?>
<ds:datastoreItem xmlns:ds="http://schemas.openxmlformats.org/officeDocument/2006/customXml" ds:itemID="{AF3EE1DD-9A8E-4230-9DAF-4A30D9CA306D}"/>
</file>

<file path=customXml/itemProps4.xml><?xml version="1.0" encoding="utf-8"?>
<ds:datastoreItem xmlns:ds="http://schemas.openxmlformats.org/officeDocument/2006/customXml" ds:itemID="{F3AB09DC-7D06-4D06-8509-05D6113EE435}"/>
</file>

<file path=docProps/app.xml><?xml version="1.0" encoding="utf-8"?>
<Properties xmlns="http://schemas.openxmlformats.org/officeDocument/2006/extended-properties" xmlns:vt="http://schemas.openxmlformats.org/officeDocument/2006/docPropsVTypes">
  <Template>Normal</Template>
  <TotalTime>20</TotalTime>
  <Pages>4</Pages>
  <Words>968</Words>
  <Characters>5519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UNEP/GC/25/00</vt:lpstr>
    </vt:vector>
  </TitlesOfParts>
  <Company>UNON</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UNEP/GC/25/00</dc:title>
  <dc:subject/>
  <dc:creator>ARABIC UNIT</dc:creator>
  <cp:keywords/>
  <dc:description/>
  <cp:lastModifiedBy>Shariful Islam</cp:lastModifiedBy>
  <cp:revision>4</cp:revision>
  <cp:lastPrinted>2019-07-17T13:13:00Z</cp:lastPrinted>
  <dcterms:created xsi:type="dcterms:W3CDTF">2020-12-17T09:05:00Z</dcterms:created>
  <dcterms:modified xsi:type="dcterms:W3CDTF">2020-12-17T10:00:00Z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0x010100D4A186B34AAF4047A570F9DFA6808567</vt:lpwstr>
  </property>
</Properties>
</file>