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3E81B290"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E130A9">
              <w:t>11</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181"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404A8B5A" w14:textId="77777777" w:rsidR="00827D6E" w:rsidRDefault="00827D6E" w:rsidP="00827D6E">
      <w:pPr>
        <w:pStyle w:val="ZZAnxtitle"/>
      </w:pPr>
      <w:bookmarkStart w:id="4" w:name="_Toc14185198"/>
      <w:r>
        <w:t>Décision adoptée par la deuxième Conférence des Parties à la Convention de Minamata sur le mercure</w:t>
      </w:r>
    </w:p>
    <w:p w14:paraId="32274BA5" w14:textId="77777777" w:rsidR="00E130A9" w:rsidRPr="003A0CFB" w:rsidRDefault="003645F6" w:rsidP="00E130A9">
      <w:pPr>
        <w:pStyle w:val="CH1"/>
        <w:rPr>
          <w:rFonts w:eastAsia="MS Mincho"/>
        </w:rPr>
      </w:pPr>
      <w:bookmarkStart w:id="5" w:name="_GoBack"/>
      <w:bookmarkEnd w:id="5"/>
      <w:r>
        <w:rPr>
          <w:rFonts w:eastAsia="MS Mincho"/>
        </w:rPr>
        <w:tab/>
      </w:r>
      <w:r>
        <w:rPr>
          <w:rFonts w:eastAsia="MS Mincho"/>
        </w:rPr>
        <w:tab/>
      </w:r>
      <w:bookmarkStart w:id="6" w:name="_Toc14185206"/>
      <w:bookmarkEnd w:id="4"/>
      <w:r w:rsidR="00E130A9">
        <w:rPr>
          <w:rFonts w:eastAsia="MS Mincho"/>
        </w:rPr>
        <w:t>M</w:t>
      </w:r>
      <w:r w:rsidR="00E130A9" w:rsidRPr="003A0CFB">
        <w:rPr>
          <w:rFonts w:eastAsia="MS Mincho"/>
        </w:rPr>
        <w:t>C-2/11 : Article 14 : Renforcement</w:t>
      </w:r>
      <w:r w:rsidR="00E130A9">
        <w:rPr>
          <w:rFonts w:eastAsia="MS Mincho"/>
        </w:rPr>
        <w:t xml:space="preserve"> des </w:t>
      </w:r>
      <w:r w:rsidR="00E130A9" w:rsidRPr="003A0CFB">
        <w:rPr>
          <w:rFonts w:eastAsia="MS Mincho"/>
        </w:rPr>
        <w:t>capacités, assistance technique et transfert de technologies</w:t>
      </w:r>
      <w:bookmarkStart w:id="7" w:name="_Toc7079454"/>
      <w:bookmarkEnd w:id="6"/>
      <w:bookmarkEnd w:id="7"/>
    </w:p>
    <w:p w14:paraId="288DD16F" w14:textId="77777777" w:rsidR="00E130A9" w:rsidRPr="0064100E" w:rsidRDefault="00E130A9" w:rsidP="00E130A9">
      <w:pPr>
        <w:pStyle w:val="NormalNonumber"/>
        <w:rPr>
          <w:i/>
          <w:lang w:val="fr-FR"/>
        </w:rPr>
      </w:pPr>
      <w:r>
        <w:rPr>
          <w:lang w:val="fr-FR"/>
        </w:rPr>
        <w:tab/>
      </w:r>
      <w:r w:rsidRPr="0064100E">
        <w:rPr>
          <w:i/>
          <w:lang w:val="fr-FR"/>
        </w:rPr>
        <w:t>La Conférence des Parties,</w:t>
      </w:r>
    </w:p>
    <w:p w14:paraId="63A856A7" w14:textId="77777777" w:rsidR="00E130A9" w:rsidRPr="002E41A8" w:rsidRDefault="00E130A9" w:rsidP="00E130A9">
      <w:pPr>
        <w:pStyle w:val="NormalNonumber"/>
        <w:rPr>
          <w:lang w:val="fr-FR"/>
        </w:rPr>
      </w:pPr>
      <w:bookmarkStart w:id="8" w:name="_Hlk530301547"/>
      <w:r>
        <w:rPr>
          <w:i/>
          <w:iCs/>
          <w:lang w:val="fr-FR"/>
        </w:rPr>
        <w:tab/>
      </w:r>
      <w:r w:rsidRPr="002E41A8">
        <w:rPr>
          <w:i/>
          <w:iCs/>
          <w:lang w:val="fr-FR"/>
        </w:rPr>
        <w:t>Rappelant</w:t>
      </w:r>
      <w:r>
        <w:rPr>
          <w:lang w:val="fr-FR"/>
        </w:rPr>
        <w:t xml:space="preserve"> la </w:t>
      </w:r>
      <w:r w:rsidRPr="002E41A8">
        <w:rPr>
          <w:lang w:val="fr-FR"/>
        </w:rPr>
        <w:t>décision MC-1/21 sur</w:t>
      </w:r>
      <w:r>
        <w:rPr>
          <w:lang w:val="fr-FR"/>
        </w:rPr>
        <w:t xml:space="preserve"> le </w:t>
      </w:r>
      <w:r w:rsidRPr="002E41A8">
        <w:rPr>
          <w:lang w:val="fr-FR"/>
        </w:rPr>
        <w:t>renforcement</w:t>
      </w:r>
      <w:r>
        <w:rPr>
          <w:lang w:val="fr-FR"/>
        </w:rPr>
        <w:t xml:space="preserve"> des </w:t>
      </w:r>
      <w:r w:rsidRPr="002E41A8">
        <w:rPr>
          <w:lang w:val="fr-FR"/>
        </w:rPr>
        <w:t>capacités, l</w:t>
      </w:r>
      <w:r>
        <w:rPr>
          <w:lang w:val="fr-FR"/>
        </w:rPr>
        <w:t>’</w:t>
      </w:r>
      <w:r w:rsidRPr="002E41A8">
        <w:rPr>
          <w:lang w:val="fr-FR"/>
        </w:rPr>
        <w:t>assistance technique et</w:t>
      </w:r>
      <w:r>
        <w:rPr>
          <w:lang w:val="fr-FR"/>
        </w:rPr>
        <w:t xml:space="preserve"> le </w:t>
      </w:r>
      <w:r w:rsidRPr="002E41A8">
        <w:rPr>
          <w:lang w:val="fr-FR"/>
        </w:rPr>
        <w:t>transfert de technologies aux fins de</w:t>
      </w:r>
      <w:r>
        <w:rPr>
          <w:lang w:val="fr-FR"/>
        </w:rPr>
        <w:t xml:space="preserve"> la </w:t>
      </w:r>
      <w:r w:rsidRPr="002E41A8">
        <w:rPr>
          <w:lang w:val="fr-FR"/>
        </w:rPr>
        <w:t>Convention de Minamata sur</w:t>
      </w:r>
      <w:r>
        <w:rPr>
          <w:lang w:val="fr-FR"/>
        </w:rPr>
        <w:t xml:space="preserve"> le </w:t>
      </w:r>
      <w:r w:rsidRPr="002E41A8">
        <w:rPr>
          <w:lang w:val="fr-FR"/>
        </w:rPr>
        <w:t>mercure, dans laquelle elle a pris conscience que certains</w:t>
      </w:r>
      <w:r>
        <w:rPr>
          <w:lang w:val="fr-FR"/>
        </w:rPr>
        <w:t xml:space="preserve"> des </w:t>
      </w:r>
      <w:r w:rsidRPr="002E41A8">
        <w:rPr>
          <w:lang w:val="fr-FR"/>
        </w:rPr>
        <w:t>centres régionaux et sous-régionaux existants élaborent déjà</w:t>
      </w:r>
      <w:r>
        <w:rPr>
          <w:lang w:val="fr-FR"/>
        </w:rPr>
        <w:t xml:space="preserve"> des </w:t>
      </w:r>
      <w:r w:rsidRPr="002E41A8">
        <w:rPr>
          <w:lang w:val="fr-FR"/>
        </w:rPr>
        <w:t>projets et</w:t>
      </w:r>
      <w:r>
        <w:rPr>
          <w:lang w:val="fr-FR"/>
        </w:rPr>
        <w:t xml:space="preserve"> des </w:t>
      </w:r>
      <w:r w:rsidRPr="002E41A8">
        <w:rPr>
          <w:lang w:val="fr-FR"/>
        </w:rPr>
        <w:t>activités concernant</w:t>
      </w:r>
      <w:r>
        <w:rPr>
          <w:lang w:val="fr-FR"/>
        </w:rPr>
        <w:t xml:space="preserve"> les </w:t>
      </w:r>
      <w:r w:rsidRPr="002E41A8">
        <w:rPr>
          <w:lang w:val="fr-FR"/>
        </w:rPr>
        <w:t>questions relatives au mercure,</w:t>
      </w:r>
      <w:bookmarkStart w:id="9" w:name="_Toc495572439"/>
      <w:bookmarkEnd w:id="8"/>
      <w:bookmarkEnd w:id="9"/>
    </w:p>
    <w:p w14:paraId="4C1141DF" w14:textId="77777777" w:rsidR="00E130A9" w:rsidRPr="002E41A8" w:rsidRDefault="00E130A9" w:rsidP="00E130A9">
      <w:pPr>
        <w:pStyle w:val="NormalNonumber"/>
        <w:rPr>
          <w:lang w:val="fr-FR"/>
        </w:rPr>
      </w:pPr>
      <w:r>
        <w:rPr>
          <w:i/>
          <w:iCs/>
          <w:lang w:val="fr-FR"/>
        </w:rPr>
        <w:tab/>
      </w:r>
      <w:r w:rsidRPr="002E41A8">
        <w:rPr>
          <w:i/>
          <w:iCs/>
          <w:lang w:val="fr-FR"/>
        </w:rPr>
        <w:t>Soulignant</w:t>
      </w:r>
      <w:r w:rsidRPr="002E41A8">
        <w:rPr>
          <w:lang w:val="fr-FR"/>
        </w:rPr>
        <w:t xml:space="preserve"> l</w:t>
      </w:r>
      <w:r>
        <w:rPr>
          <w:lang w:val="fr-FR"/>
        </w:rPr>
        <w:t>’</w:t>
      </w:r>
      <w:r w:rsidRPr="002E41A8">
        <w:rPr>
          <w:lang w:val="fr-FR"/>
        </w:rPr>
        <w:t>importance</w:t>
      </w:r>
      <w:r>
        <w:rPr>
          <w:lang w:val="fr-FR"/>
        </w:rPr>
        <w:t xml:space="preserve"> des </w:t>
      </w:r>
      <w:r w:rsidRPr="002E41A8">
        <w:rPr>
          <w:lang w:val="fr-FR"/>
        </w:rPr>
        <w:t>centres, qui comptent parmi</w:t>
      </w:r>
      <w:r>
        <w:rPr>
          <w:lang w:val="fr-FR"/>
        </w:rPr>
        <w:t xml:space="preserve"> les </w:t>
      </w:r>
      <w:r w:rsidRPr="002E41A8">
        <w:rPr>
          <w:lang w:val="fr-FR"/>
        </w:rPr>
        <w:t>principaux instruments permettant d</w:t>
      </w:r>
      <w:r>
        <w:rPr>
          <w:lang w:val="fr-FR"/>
        </w:rPr>
        <w:t>’</w:t>
      </w:r>
      <w:r w:rsidRPr="002E41A8">
        <w:rPr>
          <w:lang w:val="fr-FR"/>
        </w:rPr>
        <w:t>améliorer</w:t>
      </w:r>
      <w:r>
        <w:rPr>
          <w:lang w:val="fr-FR"/>
        </w:rPr>
        <w:t xml:space="preserve"> la </w:t>
      </w:r>
      <w:r w:rsidRPr="002E41A8">
        <w:rPr>
          <w:lang w:val="fr-FR"/>
        </w:rPr>
        <w:t>fourniture</w:t>
      </w:r>
      <w:r>
        <w:rPr>
          <w:lang w:val="fr-FR"/>
        </w:rPr>
        <w:t xml:space="preserve"> d’une</w:t>
      </w:r>
      <w:r w:rsidRPr="002E41A8">
        <w:rPr>
          <w:lang w:val="fr-FR"/>
        </w:rPr>
        <w:t xml:space="preserve"> assistance technique, de renforcer</w:t>
      </w:r>
      <w:r>
        <w:rPr>
          <w:lang w:val="fr-FR"/>
        </w:rPr>
        <w:t xml:space="preserve"> les </w:t>
      </w:r>
      <w:r w:rsidRPr="002E41A8">
        <w:rPr>
          <w:lang w:val="fr-FR"/>
        </w:rPr>
        <w:t>capacités et d</w:t>
      </w:r>
      <w:r>
        <w:rPr>
          <w:lang w:val="fr-FR"/>
        </w:rPr>
        <w:t>’</w:t>
      </w:r>
      <w:r w:rsidRPr="002E41A8">
        <w:rPr>
          <w:lang w:val="fr-FR"/>
        </w:rPr>
        <w:t>appuyer</w:t>
      </w:r>
      <w:r>
        <w:rPr>
          <w:lang w:val="fr-FR"/>
        </w:rPr>
        <w:t xml:space="preserve"> les </w:t>
      </w:r>
      <w:r w:rsidRPr="002E41A8">
        <w:rPr>
          <w:lang w:val="fr-FR"/>
        </w:rPr>
        <w:t>efforts faits par</w:t>
      </w:r>
      <w:r>
        <w:rPr>
          <w:lang w:val="fr-FR"/>
        </w:rPr>
        <w:t xml:space="preserve"> les </w:t>
      </w:r>
      <w:r w:rsidRPr="002E41A8">
        <w:rPr>
          <w:lang w:val="fr-FR"/>
        </w:rPr>
        <w:t>pays en développement et</w:t>
      </w:r>
      <w:r>
        <w:rPr>
          <w:lang w:val="fr-FR"/>
        </w:rPr>
        <w:t xml:space="preserve"> les </w:t>
      </w:r>
      <w:r w:rsidRPr="002E41A8">
        <w:rPr>
          <w:lang w:val="fr-FR"/>
        </w:rPr>
        <w:t>pays à économie en transition pour mettre en œuvre</w:t>
      </w:r>
      <w:r>
        <w:rPr>
          <w:lang w:val="fr-FR"/>
        </w:rPr>
        <w:t xml:space="preserve"> les </w:t>
      </w:r>
      <w:r w:rsidRPr="002E41A8">
        <w:rPr>
          <w:lang w:val="fr-FR"/>
        </w:rPr>
        <w:t>conventions en matière de produits chimiques et de déchets ;</w:t>
      </w:r>
    </w:p>
    <w:p w14:paraId="4D18F5DB" w14:textId="77777777" w:rsidR="00E130A9" w:rsidRPr="002E41A8" w:rsidRDefault="00E130A9" w:rsidP="00E130A9">
      <w:pPr>
        <w:pStyle w:val="NormalNonumber"/>
        <w:rPr>
          <w:rStyle w:val="hps"/>
          <w:lang w:val="fr-FR"/>
        </w:rPr>
      </w:pPr>
      <w:r>
        <w:rPr>
          <w:i/>
          <w:iCs/>
          <w:lang w:val="fr-FR"/>
        </w:rPr>
        <w:tab/>
      </w:r>
      <w:r w:rsidRPr="00F525EB">
        <w:rPr>
          <w:i/>
          <w:iCs/>
          <w:lang w:val="fr-FR"/>
        </w:rPr>
        <w:t>Soulignant également</w:t>
      </w:r>
      <w:r w:rsidRPr="00F525EB">
        <w:rPr>
          <w:lang w:val="fr-FR"/>
        </w:rPr>
        <w:t xml:space="preserve"> le rôle </w:t>
      </w:r>
      <w:r>
        <w:rPr>
          <w:lang w:val="fr-FR"/>
        </w:rPr>
        <w:t>not</w:t>
      </w:r>
      <w:r w:rsidRPr="00F525EB">
        <w:rPr>
          <w:lang w:val="fr-FR"/>
        </w:rPr>
        <w:t xml:space="preserve">able </w:t>
      </w:r>
      <w:r>
        <w:rPr>
          <w:lang w:val="fr-FR"/>
        </w:rPr>
        <w:t>joué par l</w:t>
      </w:r>
      <w:r w:rsidRPr="00F525EB">
        <w:rPr>
          <w:lang w:val="fr-FR"/>
        </w:rPr>
        <w:t xml:space="preserve">es activités </w:t>
      </w:r>
      <w:r>
        <w:rPr>
          <w:lang w:val="fr-FR"/>
        </w:rPr>
        <w:t>que</w:t>
      </w:r>
      <w:r w:rsidRPr="00F525EB">
        <w:rPr>
          <w:lang w:val="fr-FR"/>
        </w:rPr>
        <w:t xml:space="preserve"> certains centres régionaux et centres de coordination de la Convention de Bâle sur le contrôle des mouvements transfrontières de déchets dangereux et de leur élimination et de la Convention de Stockholm sur les polluants organiques persistants </w:t>
      </w:r>
      <w:r>
        <w:rPr>
          <w:lang w:val="fr-FR"/>
        </w:rPr>
        <w:t>sont en train de mettre sur pied</w:t>
      </w:r>
      <w:r w:rsidRPr="00F525EB">
        <w:rPr>
          <w:lang w:val="fr-FR"/>
        </w:rPr>
        <w:t xml:space="preserve">, et </w:t>
      </w:r>
      <w:r>
        <w:rPr>
          <w:lang w:val="fr-FR"/>
        </w:rPr>
        <w:t>par l</w:t>
      </w:r>
      <w:r w:rsidRPr="00F525EB">
        <w:rPr>
          <w:lang w:val="fr-FR"/>
        </w:rPr>
        <w:t>es projets et activités de renforcement des capacités, de transfert de technologies et de diffusion d</w:t>
      </w:r>
      <w:r>
        <w:rPr>
          <w:lang w:val="fr-FR"/>
        </w:rPr>
        <w:t>’</w:t>
      </w:r>
      <w:r w:rsidRPr="00F525EB">
        <w:rPr>
          <w:lang w:val="fr-FR"/>
        </w:rPr>
        <w:t xml:space="preserve">informations menés </w:t>
      </w:r>
      <w:r w:rsidRPr="00A837D3">
        <w:rPr>
          <w:lang w:val="fr-FR"/>
        </w:rPr>
        <w:t>concernant la problématique du mercure</w:t>
      </w:r>
      <w:r w:rsidRPr="00F525EB">
        <w:rPr>
          <w:lang w:val="fr-FR"/>
        </w:rPr>
        <w:t xml:space="preserve">, </w:t>
      </w:r>
      <w:r>
        <w:rPr>
          <w:lang w:val="fr-FR"/>
        </w:rPr>
        <w:t>comme l’ont fait ressortir</w:t>
      </w:r>
      <w:r w:rsidRPr="00F525EB">
        <w:rPr>
          <w:lang w:val="fr-FR"/>
        </w:rPr>
        <w:t xml:space="preserve"> les informations recueillies par le secrétariat en application de la décision MC-1/21,</w:t>
      </w:r>
    </w:p>
    <w:p w14:paraId="519CB756" w14:textId="77777777" w:rsidR="00E130A9" w:rsidRPr="002E41A8" w:rsidRDefault="00E130A9" w:rsidP="00E130A9">
      <w:pPr>
        <w:pStyle w:val="NormalNonumber"/>
        <w:rPr>
          <w:lang w:val="fr-FR"/>
        </w:rPr>
      </w:pPr>
      <w:r>
        <w:rPr>
          <w:i/>
          <w:iCs/>
          <w:lang w:val="fr-FR"/>
        </w:rPr>
        <w:tab/>
      </w:r>
      <w:r w:rsidRPr="002E41A8">
        <w:rPr>
          <w:i/>
          <w:iCs/>
          <w:lang w:val="fr-FR"/>
        </w:rPr>
        <w:t>Tenant compte</w:t>
      </w:r>
      <w:r>
        <w:rPr>
          <w:lang w:val="fr-FR"/>
        </w:rPr>
        <w:t xml:space="preserve"> des </w:t>
      </w:r>
      <w:r w:rsidRPr="002E41A8">
        <w:rPr>
          <w:lang w:val="fr-FR"/>
        </w:rPr>
        <w:t>arrangements formels conclus entre</w:t>
      </w:r>
      <w:r>
        <w:rPr>
          <w:lang w:val="fr-FR"/>
        </w:rPr>
        <w:t xml:space="preserve"> les </w:t>
      </w:r>
      <w:r w:rsidRPr="002E41A8">
        <w:rPr>
          <w:lang w:val="fr-FR"/>
        </w:rPr>
        <w:t>centres régionaux et sous-régionaux et</w:t>
      </w:r>
      <w:r>
        <w:rPr>
          <w:lang w:val="fr-FR"/>
        </w:rPr>
        <w:t xml:space="preserve"> le </w:t>
      </w:r>
      <w:r w:rsidRPr="002E41A8">
        <w:rPr>
          <w:lang w:val="fr-FR"/>
        </w:rPr>
        <w:t>secrétariat</w:t>
      </w:r>
      <w:r>
        <w:rPr>
          <w:lang w:val="fr-FR"/>
        </w:rPr>
        <w:t xml:space="preserve"> des </w:t>
      </w:r>
      <w:r w:rsidRPr="002E41A8">
        <w:rPr>
          <w:lang w:val="fr-FR"/>
        </w:rPr>
        <w:t>conventions de Bâle, de Rotterdam et de Stockholm,</w:t>
      </w:r>
    </w:p>
    <w:p w14:paraId="043243D9" w14:textId="77777777" w:rsidR="00E130A9" w:rsidRPr="002E41A8" w:rsidRDefault="00E130A9" w:rsidP="00E130A9">
      <w:pPr>
        <w:pStyle w:val="NormalNonumber"/>
        <w:rPr>
          <w:lang w:val="fr-FR"/>
        </w:rPr>
      </w:pPr>
      <w:r>
        <w:rPr>
          <w:iCs/>
          <w:lang w:val="fr-FR"/>
        </w:rPr>
        <w:tab/>
        <w:t>1.</w:t>
      </w:r>
      <w:r>
        <w:rPr>
          <w:iCs/>
          <w:lang w:val="fr-FR"/>
        </w:rPr>
        <w:tab/>
      </w:r>
      <w:r w:rsidRPr="002E41A8">
        <w:rPr>
          <w:i/>
          <w:iCs/>
          <w:lang w:val="fr-FR"/>
        </w:rPr>
        <w:t>Prie</w:t>
      </w:r>
      <w:r>
        <w:rPr>
          <w:i/>
          <w:iCs/>
          <w:lang w:val="fr-FR"/>
        </w:rPr>
        <w:t xml:space="preserve"> le </w:t>
      </w:r>
      <w:r w:rsidRPr="002E41A8">
        <w:rPr>
          <w:lang w:val="fr-FR"/>
        </w:rPr>
        <w:t>secrétariat de</w:t>
      </w:r>
      <w:r>
        <w:rPr>
          <w:lang w:val="fr-FR"/>
        </w:rPr>
        <w:t xml:space="preserve"> la </w:t>
      </w:r>
      <w:r w:rsidRPr="002E41A8">
        <w:rPr>
          <w:lang w:val="fr-FR"/>
        </w:rPr>
        <w:t>Convention de Minamata de recueillir</w:t>
      </w:r>
      <w:r>
        <w:rPr>
          <w:lang w:val="fr-FR"/>
        </w:rPr>
        <w:t xml:space="preserve"> des </w:t>
      </w:r>
      <w:r w:rsidRPr="002E41A8">
        <w:rPr>
          <w:lang w:val="fr-FR"/>
        </w:rPr>
        <w:t>informations relatives aux arrangements régionaux, sous-régionaux et nationaux existants en matière de renforcement</w:t>
      </w:r>
      <w:r>
        <w:rPr>
          <w:lang w:val="fr-FR"/>
        </w:rPr>
        <w:t xml:space="preserve"> des </w:t>
      </w:r>
      <w:r w:rsidRPr="002E41A8">
        <w:rPr>
          <w:lang w:val="fr-FR"/>
        </w:rPr>
        <w:t>capacités et d</w:t>
      </w:r>
      <w:r>
        <w:rPr>
          <w:lang w:val="fr-FR"/>
        </w:rPr>
        <w:t>’</w:t>
      </w:r>
      <w:r w:rsidRPr="002E41A8">
        <w:rPr>
          <w:lang w:val="fr-FR"/>
        </w:rPr>
        <w:t>assistance technique pour aider</w:t>
      </w:r>
      <w:r>
        <w:rPr>
          <w:lang w:val="fr-FR"/>
        </w:rPr>
        <w:t xml:space="preserve"> les </w:t>
      </w:r>
      <w:r w:rsidRPr="002E41A8">
        <w:rPr>
          <w:lang w:val="fr-FR"/>
        </w:rPr>
        <w:t>Parties à s</w:t>
      </w:r>
      <w:r>
        <w:rPr>
          <w:lang w:val="fr-FR"/>
        </w:rPr>
        <w:t>’</w:t>
      </w:r>
      <w:r w:rsidRPr="002E41A8">
        <w:rPr>
          <w:lang w:val="fr-FR"/>
        </w:rPr>
        <w:t>acquitter de leurs obligations au titre de</w:t>
      </w:r>
      <w:r>
        <w:rPr>
          <w:lang w:val="fr-FR"/>
        </w:rPr>
        <w:t xml:space="preserve"> la </w:t>
      </w:r>
      <w:r w:rsidRPr="002E41A8">
        <w:rPr>
          <w:lang w:val="fr-FR"/>
        </w:rPr>
        <w:t>Convention, et de lui faire rapport à ce sujet à sa troisième réunion ;</w:t>
      </w:r>
    </w:p>
    <w:p w14:paraId="17619B00" w14:textId="77777777" w:rsidR="00E130A9" w:rsidRPr="002E41A8" w:rsidRDefault="00E130A9" w:rsidP="00E130A9">
      <w:pPr>
        <w:pStyle w:val="NormalNonumber"/>
        <w:rPr>
          <w:lang w:val="fr-FR"/>
        </w:rPr>
      </w:pPr>
      <w:r>
        <w:rPr>
          <w:iCs/>
          <w:lang w:val="fr-FR"/>
        </w:rPr>
        <w:tab/>
        <w:t>2.</w:t>
      </w:r>
      <w:r>
        <w:rPr>
          <w:iCs/>
          <w:lang w:val="fr-FR"/>
        </w:rPr>
        <w:tab/>
      </w:r>
      <w:r w:rsidRPr="002E41A8">
        <w:rPr>
          <w:i/>
          <w:iCs/>
          <w:lang w:val="fr-FR"/>
        </w:rPr>
        <w:t xml:space="preserve">Souligne </w:t>
      </w:r>
      <w:r w:rsidRPr="002E41A8">
        <w:rPr>
          <w:lang w:val="fr-FR"/>
        </w:rPr>
        <w:t>qu</w:t>
      </w:r>
      <w:r>
        <w:rPr>
          <w:lang w:val="fr-FR"/>
        </w:rPr>
        <w:t>’</w:t>
      </w:r>
      <w:r w:rsidRPr="002E41A8">
        <w:rPr>
          <w:lang w:val="fr-FR"/>
        </w:rPr>
        <w:t>il importe de recourir, selon qu</w:t>
      </w:r>
      <w:r>
        <w:rPr>
          <w:lang w:val="fr-FR"/>
        </w:rPr>
        <w:t>’</w:t>
      </w:r>
      <w:r w:rsidRPr="002E41A8">
        <w:rPr>
          <w:lang w:val="fr-FR"/>
        </w:rPr>
        <w:t>il convient, à</w:t>
      </w:r>
      <w:r>
        <w:rPr>
          <w:lang w:val="fr-FR"/>
        </w:rPr>
        <w:t xml:space="preserve"> des </w:t>
      </w:r>
      <w:r w:rsidRPr="002E41A8">
        <w:rPr>
          <w:lang w:val="fr-FR"/>
        </w:rPr>
        <w:t>arrangements régionaux, sous-régionaux et nationaux, y compris</w:t>
      </w:r>
      <w:r>
        <w:rPr>
          <w:lang w:val="fr-FR"/>
        </w:rPr>
        <w:t xml:space="preserve"> des </w:t>
      </w:r>
      <w:r w:rsidRPr="002E41A8">
        <w:rPr>
          <w:lang w:val="fr-FR"/>
        </w:rPr>
        <w:t>centres régionaux et sous-régionaux existants, en vue de fournir</w:t>
      </w:r>
      <w:r>
        <w:rPr>
          <w:lang w:val="fr-FR"/>
        </w:rPr>
        <w:t xml:space="preserve"> un </w:t>
      </w:r>
      <w:r w:rsidRPr="002E41A8">
        <w:rPr>
          <w:lang w:val="fr-FR"/>
        </w:rPr>
        <w:t>renforcement</w:t>
      </w:r>
      <w:r>
        <w:rPr>
          <w:lang w:val="fr-FR"/>
        </w:rPr>
        <w:t xml:space="preserve"> des </w:t>
      </w:r>
      <w:r w:rsidRPr="002E41A8">
        <w:rPr>
          <w:lang w:val="fr-FR"/>
        </w:rPr>
        <w:t>capacités et</w:t>
      </w:r>
      <w:r>
        <w:rPr>
          <w:lang w:val="fr-FR"/>
        </w:rPr>
        <w:t xml:space="preserve"> une </w:t>
      </w:r>
      <w:r w:rsidRPr="002E41A8">
        <w:rPr>
          <w:lang w:val="fr-FR"/>
        </w:rPr>
        <w:t>assistance technique conformément à l</w:t>
      </w:r>
      <w:r>
        <w:rPr>
          <w:lang w:val="fr-FR"/>
        </w:rPr>
        <w:t>’</w:t>
      </w:r>
      <w:r w:rsidRPr="002E41A8">
        <w:rPr>
          <w:lang w:val="fr-FR"/>
        </w:rPr>
        <w:t>article 14 de</w:t>
      </w:r>
      <w:r>
        <w:rPr>
          <w:lang w:val="fr-FR"/>
        </w:rPr>
        <w:t xml:space="preserve"> la </w:t>
      </w:r>
      <w:r w:rsidRPr="002E41A8">
        <w:rPr>
          <w:lang w:val="fr-FR"/>
        </w:rPr>
        <w:t>Convention.</w:t>
      </w:r>
    </w:p>
    <w:p w14:paraId="29516043" w14:textId="210670E6" w:rsidR="003D22DE" w:rsidRPr="00E130A9" w:rsidRDefault="003D22DE" w:rsidP="00E130A9">
      <w:pPr>
        <w:tabs>
          <w:tab w:val="clear" w:pos="1247"/>
          <w:tab w:val="clear" w:pos="1814"/>
          <w:tab w:val="clear" w:pos="2381"/>
          <w:tab w:val="clear" w:pos="2948"/>
          <w:tab w:val="clear" w:pos="3515"/>
        </w:tabs>
        <w:rPr>
          <w:rFonts w:eastAsia="MS Mincho"/>
        </w:rPr>
      </w:pPr>
    </w:p>
    <w:sectPr w:rsidR="003D22DE" w:rsidRPr="00E130A9"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A51D" w14:textId="77777777" w:rsidR="007C27A4" w:rsidRDefault="007C27A4">
      <w:r>
        <w:separator/>
      </w:r>
    </w:p>
  </w:endnote>
  <w:endnote w:type="continuationSeparator" w:id="0">
    <w:p w14:paraId="028D59A7" w14:textId="77777777" w:rsidR="007C27A4" w:rsidRDefault="007C27A4">
      <w:r>
        <w:continuationSeparator/>
      </w:r>
    </w:p>
  </w:endnote>
  <w:endnote w:type="continuationNotice" w:id="1">
    <w:p w14:paraId="52CDFEBB" w14:textId="77777777" w:rsidR="007C27A4" w:rsidRDefault="007C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78EE" w14:textId="77777777" w:rsidR="007C27A4" w:rsidRDefault="007C27A4" w:rsidP="00D92DE0">
      <w:pPr>
        <w:ind w:left="624"/>
      </w:pPr>
      <w:r>
        <w:separator/>
      </w:r>
    </w:p>
  </w:footnote>
  <w:footnote w:type="continuationSeparator" w:id="0">
    <w:p w14:paraId="2B2FC8FF" w14:textId="77777777" w:rsidR="007C27A4" w:rsidRDefault="007C27A4">
      <w:r>
        <w:continuationSeparator/>
      </w:r>
    </w:p>
  </w:footnote>
  <w:footnote w:type="continuationNotice" w:id="1">
    <w:p w14:paraId="75833128" w14:textId="77777777" w:rsidR="007C27A4" w:rsidRDefault="007C2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2C931EF1"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EB297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7567307B"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E130A9">
      <w:rPr>
        <w:szCs w:val="18"/>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58E3431"/>
    <w:multiLevelType w:val="hybridMultilevel"/>
    <w:tmpl w:val="F4ACF36E"/>
    <w:styleLink w:val="Normallist2"/>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num w:numId="1">
    <w:abstractNumId w:val="10"/>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6"/>
  </w:num>
  <w:num w:numId="4">
    <w:abstractNumId w:val="9"/>
  </w:num>
  <w:num w:numId="5">
    <w:abstractNumId w:val="11"/>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1"/>
  </w:num>
  <w:num w:numId="8">
    <w:abstractNumId w:val="3"/>
  </w:num>
  <w:num w:numId="9">
    <w:abstractNumId w:val="5"/>
  </w:num>
  <w:num w:numId="10">
    <w:abstractNumId w:val="0"/>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64FA"/>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BB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37C"/>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45F6"/>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18A"/>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7A4"/>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27D6E"/>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C5360"/>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2DC"/>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0A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2974"/>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7"/>
      </w:numPr>
    </w:pPr>
  </w:style>
  <w:style w:type="numbering" w:customStyle="1" w:styleId="Importeradestilen15">
    <w:name w:val="Importerade stilen 15"/>
    <w:rsid w:val="00A06DF8"/>
    <w:pPr>
      <w:numPr>
        <w:numId w:val="8"/>
      </w:numPr>
    </w:pPr>
  </w:style>
  <w:style w:type="numbering" w:customStyle="1" w:styleId="Importeradestilen12">
    <w:name w:val="Importerade stilen 12"/>
    <w:rsid w:val="00A06DF8"/>
    <w:pPr>
      <w:numPr>
        <w:numId w:val="6"/>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pPr>
      <w:numPr>
        <w:numId w:val="13"/>
      </w:numPr>
    </w:pPr>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9"/>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0"/>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1"/>
      </w:numPr>
    </w:pPr>
  </w:style>
  <w:style w:type="numbering" w:customStyle="1" w:styleId="Importovanstyl9">
    <w:name w:val="Importovaný styl 9"/>
    <w:rsid w:val="006C30B5"/>
    <w:pPr>
      <w:numPr>
        <w:numId w:val="12"/>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940574879">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52F6B-2724-4371-9999-801EE3FE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2020-11-09T12:20:00Z</cp:lastPrinted>
  <dcterms:created xsi:type="dcterms:W3CDTF">2020-11-06T13:41:00Z</dcterms:created>
  <dcterms:modified xsi:type="dcterms:W3CDTF">2020-11-09T12:20:00Z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