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493A5434"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w:t>
            </w:r>
            <w:r w:rsidR="006E697A">
              <w:t>1</w:t>
            </w:r>
            <w:r w:rsidR="00671070">
              <w:t>1</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r w:rsidRPr="002927A1">
              <w:rPr>
                <w:lang w:val="es-ES_tradnl"/>
              </w:rPr>
              <w:t>Distr.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 xml:space="preserve">Decisión adoptada por la </w:t>
      </w:r>
      <w:r w:rsidR="003739C1">
        <w:rPr>
          <w:bCs/>
          <w:lang w:val="es-ES_tradnl"/>
        </w:rPr>
        <w:t>segund</w:t>
      </w:r>
      <w:r>
        <w:rPr>
          <w:bCs/>
          <w:lang w:val="es-ES_tradnl"/>
        </w:rPr>
        <w:t>a</w:t>
      </w:r>
      <w:r w:rsidR="005726B0" w:rsidRPr="002927A1">
        <w:rPr>
          <w:bCs/>
          <w:lang w:val="es-ES_tradnl"/>
        </w:rPr>
        <w:t xml:space="preserve"> Conferencia de las Partes en el Convenio de Minamata sobre el Mercurio</w:t>
      </w:r>
    </w:p>
    <w:p w14:paraId="55AA1BF3" w14:textId="6D1AEA22" w:rsidR="00CB2628"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58E3E78D" w14:textId="77777777" w:rsidR="00A24011" w:rsidRPr="00D632D2" w:rsidRDefault="00A24011" w:rsidP="00A24011">
      <w:pPr>
        <w:pStyle w:val="CH1"/>
        <w:rPr>
          <w:i/>
        </w:rPr>
      </w:pPr>
      <w:r w:rsidRPr="00D632D2">
        <w:rPr>
          <w:color w:val="FF0000"/>
        </w:rPr>
        <w:tab/>
      </w:r>
      <w:r w:rsidRPr="00D632D2">
        <w:rPr>
          <w:color w:val="FF0000"/>
        </w:rPr>
        <w:tab/>
      </w:r>
      <w:bookmarkStart w:id="1" w:name="_Toc13068827"/>
      <w:bookmarkStart w:id="2" w:name="_Toc13072391"/>
      <w:bookmarkStart w:id="3" w:name="_Toc13135495"/>
      <w:r w:rsidRPr="00D632D2">
        <w:rPr>
          <w:bCs/>
        </w:rPr>
        <w:t>MC</w:t>
      </w:r>
      <w:r w:rsidRPr="00D632D2">
        <w:rPr>
          <w:bCs/>
        </w:rPr>
        <w:noBreakHyphen/>
        <w:t>2/11: Artículo 14: Creación de capacidad, asistencia técnica y transferencia de tecnología</w:t>
      </w:r>
      <w:bookmarkEnd w:id="1"/>
      <w:bookmarkEnd w:id="2"/>
      <w:bookmarkEnd w:id="3"/>
      <w:r w:rsidRPr="00D632D2">
        <w:rPr>
          <w:i/>
        </w:rPr>
        <w:t xml:space="preserve"> </w:t>
      </w:r>
    </w:p>
    <w:p w14:paraId="3A36F49A" w14:textId="77777777" w:rsidR="00A24011" w:rsidRPr="00D632D2" w:rsidRDefault="00A24011" w:rsidP="00A24011">
      <w:pPr>
        <w:pStyle w:val="CH1"/>
        <w:spacing w:before="0"/>
        <w:ind w:right="0" w:firstLine="624"/>
        <w:rPr>
          <w:b w:val="0"/>
          <w:sz w:val="20"/>
          <w:szCs w:val="20"/>
        </w:rPr>
      </w:pPr>
      <w:bookmarkStart w:id="4" w:name="_Toc13068828"/>
      <w:bookmarkStart w:id="5" w:name="_Toc13072392"/>
      <w:bookmarkStart w:id="6" w:name="_Toc13135496"/>
      <w:r w:rsidRPr="00D632D2">
        <w:rPr>
          <w:b w:val="0"/>
          <w:i/>
          <w:sz w:val="20"/>
          <w:szCs w:val="20"/>
        </w:rPr>
        <w:t>La Conferencia de las Partes</w:t>
      </w:r>
      <w:r w:rsidRPr="00D632D2">
        <w:rPr>
          <w:b w:val="0"/>
          <w:sz w:val="20"/>
          <w:szCs w:val="20"/>
        </w:rPr>
        <w:t>,</w:t>
      </w:r>
      <w:bookmarkEnd w:id="4"/>
      <w:bookmarkEnd w:id="5"/>
      <w:bookmarkEnd w:id="6"/>
    </w:p>
    <w:p w14:paraId="69528365" w14:textId="77777777" w:rsidR="00A24011" w:rsidRPr="00D632D2" w:rsidRDefault="00A24011" w:rsidP="00A24011">
      <w:pPr>
        <w:pStyle w:val="NormalNonumber"/>
        <w:tabs>
          <w:tab w:val="clear" w:pos="1247"/>
          <w:tab w:val="clear" w:pos="1814"/>
          <w:tab w:val="clear" w:pos="2381"/>
          <w:tab w:val="clear" w:pos="2948"/>
          <w:tab w:val="clear" w:pos="3515"/>
          <w:tab w:val="clear" w:pos="4082"/>
          <w:tab w:val="left" w:pos="624"/>
        </w:tabs>
        <w:ind w:firstLine="624"/>
      </w:pPr>
      <w:bookmarkStart w:id="7" w:name="_Hlk530301547"/>
      <w:r w:rsidRPr="00D632D2">
        <w:rPr>
          <w:i/>
          <w:iCs/>
        </w:rPr>
        <w:t>Recordando</w:t>
      </w:r>
      <w:r w:rsidRPr="00D632D2">
        <w:t xml:space="preserve"> la decisión MC</w:t>
      </w:r>
      <w:r w:rsidRPr="00D632D2">
        <w:noBreakHyphen/>
        <w:t xml:space="preserve">1/21 sobre creación de capacidad, asistencia técnica y transferencia de tecnología para el Convenio de Minamata sobre el Mercurio, en la que se reconoció que algunos de los centros regionales y subregionales existentes ya estaban desarrollando proyectos y actividades sobre cuestiones relacionadas con el mercurio, </w:t>
      </w:r>
      <w:bookmarkStart w:id="8" w:name="_Toc495572439"/>
      <w:bookmarkEnd w:id="7"/>
      <w:bookmarkEnd w:id="8"/>
    </w:p>
    <w:p w14:paraId="1D87B686" w14:textId="77777777" w:rsidR="00A24011" w:rsidRPr="00D632D2" w:rsidRDefault="00A24011" w:rsidP="00A24011">
      <w:pPr>
        <w:pStyle w:val="NormalNonumber"/>
        <w:tabs>
          <w:tab w:val="clear" w:pos="1247"/>
          <w:tab w:val="clear" w:pos="1814"/>
          <w:tab w:val="clear" w:pos="2381"/>
          <w:tab w:val="clear" w:pos="2948"/>
          <w:tab w:val="clear" w:pos="3515"/>
          <w:tab w:val="clear" w:pos="4082"/>
          <w:tab w:val="left" w:pos="624"/>
        </w:tabs>
        <w:ind w:firstLine="624"/>
      </w:pPr>
      <w:r w:rsidRPr="00D632D2">
        <w:rPr>
          <w:i/>
          <w:iCs/>
        </w:rPr>
        <w:t>Destacando</w:t>
      </w:r>
      <w:r w:rsidRPr="00D632D2">
        <w:t xml:space="preserve"> la importancia de los centros como uno de los principales instrumentos para el mejoramiento de la prestación de asistencia técnica y la creación de capacidad, así como para el apoyo a las actividades desplegadas por los países en desarrollo y los países con economías en transición a nivel nacional en la aplicación de los convenios sobre productos químicos y desechos,</w:t>
      </w:r>
    </w:p>
    <w:p w14:paraId="7A71FDAE" w14:textId="77777777" w:rsidR="00A24011" w:rsidRPr="00D632D2" w:rsidRDefault="00A24011" w:rsidP="00A24011">
      <w:pPr>
        <w:pStyle w:val="NormalNonumber"/>
        <w:tabs>
          <w:tab w:val="clear" w:pos="1247"/>
          <w:tab w:val="clear" w:pos="1814"/>
          <w:tab w:val="clear" w:pos="2381"/>
          <w:tab w:val="clear" w:pos="2948"/>
          <w:tab w:val="clear" w:pos="3515"/>
          <w:tab w:val="clear" w:pos="4082"/>
          <w:tab w:val="left" w:pos="624"/>
        </w:tabs>
        <w:ind w:firstLine="624"/>
        <w:rPr>
          <w:rStyle w:val="hps"/>
        </w:rPr>
      </w:pPr>
      <w:r w:rsidRPr="00D632D2">
        <w:rPr>
          <w:i/>
          <w:iCs/>
        </w:rPr>
        <w:t xml:space="preserve">Resaltando </w:t>
      </w:r>
      <w:r w:rsidRPr="00D632D2">
        <w:t>la importante función de las actividades que algunos de los centros regionales y de coordinación del Convenio de Basilea sobre el Control de los Movimientos Transfronterizos de los Desechos Peligrosos y su Eliminación y el Convenio de Estocolmo sobre Contaminantes Orgánicos Persistentes están llevando a cabo respecto de cuestiones relacionadas con el mercurio, proyectos y actividades de creación de capacidad, transferencia de tecnología y difusión de la información, como resulta evidente a partir de la información reunida por la Secretaría en virtud de la decisión MC</w:t>
      </w:r>
      <w:r w:rsidRPr="00D632D2">
        <w:noBreakHyphen/>
        <w:t>1/21,</w:t>
      </w:r>
    </w:p>
    <w:p w14:paraId="021DF599" w14:textId="77777777" w:rsidR="00A24011" w:rsidRPr="00D632D2" w:rsidRDefault="00A24011" w:rsidP="00A24011">
      <w:pPr>
        <w:pStyle w:val="NormalNonumber"/>
        <w:tabs>
          <w:tab w:val="clear" w:pos="1247"/>
          <w:tab w:val="clear" w:pos="1814"/>
          <w:tab w:val="clear" w:pos="2381"/>
          <w:tab w:val="clear" w:pos="2948"/>
          <w:tab w:val="clear" w:pos="3515"/>
          <w:tab w:val="clear" w:pos="4082"/>
          <w:tab w:val="left" w:pos="624"/>
        </w:tabs>
        <w:ind w:firstLine="624"/>
      </w:pPr>
      <w:r w:rsidRPr="00D632D2">
        <w:rPr>
          <w:i/>
        </w:rPr>
        <w:t>Teniendo en cuenta</w:t>
      </w:r>
      <w:r w:rsidRPr="00D632D2">
        <w:t xml:space="preserve"> los arreglos formales entre los centros regionales y subregionales y la Secretaría de los Convenios de Basilea, Estocolmo y Rotterdam,</w:t>
      </w:r>
    </w:p>
    <w:p w14:paraId="5263ABF3" w14:textId="77777777" w:rsidR="00A24011" w:rsidRPr="00D632D2" w:rsidRDefault="00A24011" w:rsidP="00A24011">
      <w:pPr>
        <w:pStyle w:val="Normalnumber"/>
        <w:ind w:left="1247" w:firstLine="624"/>
      </w:pPr>
      <w:r w:rsidRPr="00D632D2">
        <w:t>1</w:t>
      </w:r>
      <w:r w:rsidRPr="00D632D2">
        <w:rPr>
          <w:i/>
        </w:rPr>
        <w:t>.</w:t>
      </w:r>
      <w:r w:rsidRPr="00D632D2">
        <w:rPr>
          <w:i/>
        </w:rPr>
        <w:tab/>
        <w:t>Solicita</w:t>
      </w:r>
      <w:r w:rsidRPr="00D632D2">
        <w:t xml:space="preserve"> a la Secretaría del Convenio de Minamata que recopile la información recibida de los arreglos regionales, subregionales y nacionales sobre la creación de capacidad y la prestación de asistencia técnica para ayudar a las Partes a cumplir las obligaciones contraídas en virtud del Convenio de Minamata, y solicita también a la Secretaría que informe al respecto a la Conferencia de las Partes en su tercera reunión;</w:t>
      </w:r>
    </w:p>
    <w:p w14:paraId="54C85A0D" w14:textId="77777777" w:rsidR="00A24011" w:rsidRPr="00D632D2" w:rsidRDefault="00A24011" w:rsidP="00A24011">
      <w:pPr>
        <w:pStyle w:val="Normalnumber"/>
        <w:ind w:left="1247" w:firstLine="624"/>
      </w:pPr>
      <w:r w:rsidRPr="00D632D2">
        <w:rPr>
          <w:iCs/>
        </w:rPr>
        <w:t>2.</w:t>
      </w:r>
      <w:r w:rsidRPr="00D632D2">
        <w:rPr>
          <w:i/>
          <w:iCs/>
        </w:rPr>
        <w:tab/>
        <w:t>Pone de relieve</w:t>
      </w:r>
      <w:r w:rsidRPr="00D632D2">
        <w:t xml:space="preserve"> la importancia de utilizar, según proceda, arreglos regionales, subregionales y nacionales, incluidos los centros regionales y subregionales existentes, para ayudar a crear capacidad y prestar asistencia técnica de conformidad con el artículo 14 del Convenio.</w:t>
      </w:r>
    </w:p>
    <w:p w14:paraId="3C9509C5" w14:textId="549FAF16" w:rsidR="003476D8" w:rsidRPr="00A24011" w:rsidRDefault="003476D8" w:rsidP="00A24011">
      <w:pPr>
        <w:tabs>
          <w:tab w:val="clear" w:pos="1247"/>
          <w:tab w:val="clear" w:pos="1814"/>
          <w:tab w:val="clear" w:pos="2381"/>
          <w:tab w:val="clear" w:pos="2948"/>
          <w:tab w:val="clear" w:pos="3515"/>
        </w:tabs>
        <w:rPr>
          <w:rFonts w:eastAsia="MS Mincho"/>
        </w:rPr>
      </w:pPr>
      <w:bookmarkStart w:id="9" w:name="_GoBack"/>
      <w:bookmarkEnd w:id="9"/>
    </w:p>
    <w:sectPr w:rsidR="003476D8" w:rsidRPr="00A24011"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DCD3E" w14:textId="77777777" w:rsidR="00031A1E" w:rsidRDefault="00031A1E">
      <w:r>
        <w:separator/>
      </w:r>
    </w:p>
  </w:endnote>
  <w:endnote w:type="continuationSeparator" w:id="0">
    <w:p w14:paraId="7C8B95A2" w14:textId="77777777" w:rsidR="00031A1E" w:rsidRDefault="00031A1E">
      <w:r>
        <w:continuationSeparator/>
      </w:r>
    </w:p>
  </w:endnote>
  <w:endnote w:type="continuationNotice" w:id="1">
    <w:p w14:paraId="7FF96735" w14:textId="77777777" w:rsidR="00031A1E" w:rsidRDefault="00031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905A" w14:textId="77777777" w:rsidR="00031A1E" w:rsidRPr="008D1ED6" w:rsidRDefault="00031A1E"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2B6B7179" w14:textId="77777777" w:rsidR="00031A1E" w:rsidRDefault="00031A1E">
      <w:r>
        <w:continuationSeparator/>
      </w:r>
    </w:p>
  </w:footnote>
  <w:footnote w:type="continuationNotice" w:id="1">
    <w:p w14:paraId="46E4B260" w14:textId="77777777" w:rsidR="00031A1E" w:rsidRDefault="00031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4EEF4123"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75660C">
      <w:rPr>
        <w:szCs w:val="18"/>
      </w:rPr>
      <w:t>.</w:t>
    </w:r>
    <w:r w:rsidR="006E697A">
      <w:rPr>
        <w:szCs w:val="18"/>
      </w:rPr>
      <w:t>1</w:t>
    </w:r>
    <w:r w:rsidR="00671070">
      <w:rPr>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35E36512"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6E697A">
      <w:rPr>
        <w:szCs w:val="18"/>
      </w:rPr>
      <w:t>1</w:t>
    </w:r>
    <w:r w:rsidR="00671070">
      <w:rPr>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0"/>
  </w:num>
  <w:num w:numId="2">
    <w:abstractNumId w:val="2"/>
  </w:num>
  <w:num w:numId="3">
    <w:abstractNumId w:val="7"/>
  </w:num>
  <w:num w:numId="4">
    <w:abstractNumId w:val="6"/>
  </w:num>
  <w:num w:numId="5">
    <w:abstractNumId w:val="0"/>
  </w:num>
  <w:num w:numId="6">
    <w:abstractNumId w:val="5"/>
  </w:num>
  <w:num w:numId="7">
    <w:abstractNumId w:val="8"/>
  </w:num>
  <w:num w:numId="8">
    <w:abstractNumId w:val="3"/>
  </w:num>
  <w:num w:numId="9">
    <w:abstractNumId w:val="9"/>
  </w:num>
  <w:num w:numId="10">
    <w:abstractNumId w:val="1"/>
  </w:num>
  <w:num w:numId="11">
    <w:abstractNumId w:val="4"/>
    <w:lvlOverride w:ilvl="0">
      <w:lvl w:ilvl="0" w:tplc="3C785296">
        <w:start w:val="1"/>
        <w:numFmt w:val="decimal"/>
        <w:pStyle w:val="Style1"/>
        <w:lvlText w:val="%1."/>
        <w:lvlJc w:val="left"/>
        <w:pPr>
          <w:ind w:left="720" w:hanging="360"/>
        </w:p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1A1E"/>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6CC2"/>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CFE"/>
    <w:rsid w:val="00201EDC"/>
    <w:rsid w:val="0020364F"/>
    <w:rsid w:val="00205869"/>
    <w:rsid w:val="002063A4"/>
    <w:rsid w:val="00207F30"/>
    <w:rsid w:val="00210312"/>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6D8"/>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1546"/>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2E3B"/>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9C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1070"/>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3F7"/>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697A"/>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660C"/>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87949"/>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4AC1"/>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58B6"/>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87271"/>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3F82"/>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011"/>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2D50"/>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0C53"/>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590E"/>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0E63"/>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9DC"/>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089"/>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6332"/>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qFormat/>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NormalpoolChar">
    <w:name w:val="Normal_pool Char"/>
    <w:link w:val="Normalpool"/>
    <w:locked/>
    <w:rsid w:val="00BB0C53"/>
    <w:rPr>
      <w:lang w:val="fr-FR"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unhideWhenUsed/>
    <w:rsid w:val="003476D8"/>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customStyle="1" w:styleId="hps">
    <w:name w:val="hps"/>
    <w:basedOn w:val="DefaultParagraphFont"/>
    <w:uiPriority w:val="99"/>
    <w:rsid w:val="00A240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6ED76CCF-21D1-4623-B0FF-E66A7360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4</cp:revision>
  <cp:lastPrinted>2020-03-02T13:04:00Z</cp:lastPrinted>
  <dcterms:created xsi:type="dcterms:W3CDTF">2021-01-13T17:07:00Z</dcterms:created>
  <dcterms:modified xsi:type="dcterms:W3CDTF">2021-01-13T17:09:00Z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