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6731ABC3" w:rsidR="0099003C" w:rsidRPr="00A7082A" w:rsidRDefault="0099003C" w:rsidP="00320066">
            <w:pPr>
              <w:pStyle w:val="Normal-pool"/>
              <w:rPr>
                <w:sz w:val="18"/>
              </w:rPr>
            </w:pPr>
            <w:r w:rsidRPr="00A7082A">
              <w:rPr>
                <w:b/>
                <w:sz w:val="28"/>
              </w:rPr>
              <w:t>UNEP</w:t>
            </w:r>
            <w:r w:rsidRPr="00A7082A">
              <w:t>/MC/COP.</w:t>
            </w:r>
            <w:r w:rsidR="001328DA">
              <w:t>2</w:t>
            </w:r>
            <w:r w:rsidRPr="00A7082A">
              <w:t>/</w:t>
            </w:r>
            <w:r w:rsidR="00C870D0">
              <w:t>Dec.1</w:t>
            </w:r>
            <w:r w:rsidR="00EE49FD">
              <w:t>1</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7E1AD8D3"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4A730E">
              <w:t>6 December</w:t>
            </w:r>
            <w:r w:rsidR="009C52E8" w:rsidRPr="00A7082A">
              <w:t xml:space="preserve"> 20</w:t>
            </w:r>
            <w:r w:rsidR="004A730E">
              <w:t>18</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44FAF5EE" w:rsidR="0099003C" w:rsidRPr="00A7082A" w:rsidRDefault="004A730E" w:rsidP="00587D09">
      <w:pPr>
        <w:pStyle w:val="AATitle"/>
      </w:pPr>
      <w:r>
        <w:t>Second</w:t>
      </w:r>
      <w:r w:rsidR="00076758" w:rsidRPr="00A7082A">
        <w:t xml:space="preserve"> </w:t>
      </w:r>
      <w:r w:rsidR="0099003C" w:rsidRPr="00A7082A">
        <w:t>meeting</w:t>
      </w:r>
    </w:p>
    <w:p w14:paraId="351E61BB" w14:textId="6B632402" w:rsidR="0099003C" w:rsidRPr="00A7082A" w:rsidRDefault="0099003C" w:rsidP="0099003C">
      <w:pPr>
        <w:pStyle w:val="AATitle"/>
        <w:rPr>
          <w:b w:val="0"/>
        </w:rPr>
      </w:pPr>
      <w:r w:rsidRPr="00A7082A">
        <w:rPr>
          <w:b w:val="0"/>
        </w:rPr>
        <w:t xml:space="preserve">Geneva, </w:t>
      </w:r>
      <w:r w:rsidR="004A730E">
        <w:rPr>
          <w:b w:val="0"/>
        </w:rPr>
        <w:t>19</w:t>
      </w:r>
      <w:r w:rsidRPr="00A7082A">
        <w:rPr>
          <w:b w:val="0"/>
        </w:rPr>
        <w:t>–2</w:t>
      </w:r>
      <w:r w:rsidR="004A730E">
        <w:rPr>
          <w:b w:val="0"/>
        </w:rPr>
        <w:t>3</w:t>
      </w:r>
      <w:r w:rsidRPr="00A7082A">
        <w:rPr>
          <w:b w:val="0"/>
        </w:rPr>
        <w:t xml:space="preserve"> November 201</w:t>
      </w:r>
      <w:r w:rsidR="004A730E">
        <w:rPr>
          <w:b w:val="0"/>
        </w:rPr>
        <w:t>8</w:t>
      </w:r>
    </w:p>
    <w:p w14:paraId="699814FA" w14:textId="0AAB7C90" w:rsidR="0099003C" w:rsidRPr="00A7082A" w:rsidRDefault="001D1473" w:rsidP="0099003C">
      <w:pPr>
        <w:pStyle w:val="BBTitle"/>
      </w:pPr>
      <w:r>
        <w:t>Decision adopted by</w:t>
      </w:r>
      <w:r w:rsidR="00661B39">
        <w:t xml:space="preserve"> the </w:t>
      </w:r>
      <w:r w:rsidR="001F0056">
        <w:t>second</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3930DA18" w14:textId="77777777" w:rsidR="00EE49FD" w:rsidRDefault="00CB2628" w:rsidP="00EE49FD">
      <w:pPr>
        <w:pStyle w:val="CH1"/>
      </w:pPr>
      <w:r w:rsidRPr="00A7082A">
        <w:rPr>
          <w:bCs/>
        </w:rPr>
        <w:tab/>
      </w:r>
      <w:r w:rsidRPr="00A7082A">
        <w:rPr>
          <w:bCs/>
        </w:rPr>
        <w:tab/>
      </w:r>
      <w:bookmarkStart w:id="0" w:name="_Toc7079454"/>
      <w:r w:rsidR="00EE49FD">
        <w:t>MC-2/11: Article 14: Capacity-building, technical assistance and technology transfer</w:t>
      </w:r>
      <w:bookmarkEnd w:id="0"/>
    </w:p>
    <w:p w14:paraId="222BA6F5" w14:textId="77777777" w:rsidR="00EE49FD" w:rsidRDefault="00EE49FD" w:rsidP="00EE49FD">
      <w:pPr>
        <w:pStyle w:val="Normal-pool"/>
        <w:spacing w:after="120"/>
        <w:ind w:left="1247" w:firstLine="624"/>
        <w:rPr>
          <w:i/>
        </w:rPr>
      </w:pPr>
      <w:r>
        <w:rPr>
          <w:i/>
        </w:rPr>
        <w:t>The Conference of the Parties,</w:t>
      </w:r>
    </w:p>
    <w:p w14:paraId="7FB0CF7B" w14:textId="77777777" w:rsidR="00EE49FD" w:rsidRDefault="00EE49FD" w:rsidP="00EE49FD">
      <w:pPr>
        <w:pStyle w:val="Normal-pool"/>
        <w:spacing w:after="120"/>
        <w:ind w:left="1247" w:firstLine="624"/>
      </w:pPr>
      <w:bookmarkStart w:id="1" w:name="_Hlk530301547"/>
      <w:r>
        <w:rPr>
          <w:i/>
        </w:rPr>
        <w:t>Recalling</w:t>
      </w:r>
      <w:r>
        <w:t xml:space="preserve"> decision </w:t>
      </w:r>
      <w:bookmarkStart w:id="2" w:name="_Toc495572439"/>
      <w:r>
        <w:t>MC-1/21</w:t>
      </w:r>
      <w:bookmarkEnd w:id="1"/>
      <w:r>
        <w:t xml:space="preserve"> on capacity-building, technical assistance and technology transfer for the Minamata Convention on Mercury</w:t>
      </w:r>
      <w:bookmarkEnd w:id="2"/>
      <w:r>
        <w:t xml:space="preserve">, where it is recognized that some of the existing regional and </w:t>
      </w:r>
      <w:proofErr w:type="spellStart"/>
      <w:r>
        <w:t>subregional</w:t>
      </w:r>
      <w:proofErr w:type="spellEnd"/>
      <w:r>
        <w:t xml:space="preserve"> centres are already developing projects and activities regarding mercury issues, </w:t>
      </w:r>
    </w:p>
    <w:p w14:paraId="3D1490A7" w14:textId="77777777" w:rsidR="00EE49FD" w:rsidRDefault="00EE49FD" w:rsidP="00EE49FD">
      <w:pPr>
        <w:pStyle w:val="Normal-pool"/>
        <w:spacing w:after="120"/>
        <w:ind w:left="1247" w:firstLine="624"/>
      </w:pPr>
      <w:r>
        <w:rPr>
          <w:i/>
        </w:rPr>
        <w:t>Stressing</w:t>
      </w:r>
      <w:r>
        <w:t xml:space="preserve"> the importance of the centres as one of the main instruments for enhancing the provision of technical assistance and capacity-b</w:t>
      </w:r>
      <w:bookmarkStart w:id="3" w:name="_GoBack"/>
      <w:bookmarkEnd w:id="3"/>
      <w:r>
        <w:t>uilding as well as supporting national efforts of developing countries and countries with economies in transition for the implementation of the chemicals and waste cluster conventions,</w:t>
      </w:r>
    </w:p>
    <w:p w14:paraId="58FE30F5" w14:textId="77777777" w:rsidR="00EE49FD" w:rsidRDefault="00EE49FD" w:rsidP="00EE49FD">
      <w:pPr>
        <w:pStyle w:val="Normal-pool"/>
        <w:spacing w:after="120"/>
        <w:ind w:left="1247" w:firstLine="624"/>
      </w:pPr>
      <w:r>
        <w:rPr>
          <w:i/>
        </w:rPr>
        <w:t>Highlighting</w:t>
      </w:r>
      <w:r>
        <w:t xml:space="preserve"> the significant role of the activities that some of the regional and coordinating centres of the </w:t>
      </w:r>
      <w:r>
        <w:rPr>
          <w:shd w:val="clear" w:color="auto" w:fill="FFFFFF"/>
        </w:rPr>
        <w:t>Basel Convention on the Control of Transboundary Movements of Hazardous Wastes and Their Disposal and the Stockholm Convention on Persistent Organic Pollutants</w:t>
      </w:r>
      <w:r>
        <w:t xml:space="preserve"> are developing regarding mercury issues, projects and activities on capacity-building, technology transfer and dissemination of information, as evident from the information collected by the secretariat under decision MC-1/21,</w:t>
      </w:r>
    </w:p>
    <w:p w14:paraId="2AA8FC20" w14:textId="77777777" w:rsidR="00EE49FD" w:rsidRDefault="00EE49FD" w:rsidP="00EE49FD">
      <w:pPr>
        <w:pStyle w:val="Normal-pool"/>
        <w:spacing w:after="120"/>
        <w:ind w:left="1247" w:firstLine="624"/>
      </w:pPr>
      <w:proofErr w:type="gramStart"/>
      <w:r>
        <w:rPr>
          <w:i/>
        </w:rPr>
        <w:t>Taking into account</w:t>
      </w:r>
      <w:proofErr w:type="gramEnd"/>
      <w:r>
        <w:t xml:space="preserve"> the formal arrangements between the regional and </w:t>
      </w:r>
      <w:proofErr w:type="spellStart"/>
      <w:r>
        <w:t>subregional</w:t>
      </w:r>
      <w:proofErr w:type="spellEnd"/>
      <w:r>
        <w:t xml:space="preserve"> centres and the secretariat of the Basel, Rotterdam and Stockholm conventions,</w:t>
      </w:r>
    </w:p>
    <w:p w14:paraId="2FDD184A" w14:textId="77777777" w:rsidR="00EE49FD" w:rsidRDefault="00EE49FD" w:rsidP="00EE49FD">
      <w:pPr>
        <w:pStyle w:val="Normal-pool"/>
        <w:numPr>
          <w:ilvl w:val="0"/>
          <w:numId w:val="102"/>
        </w:numPr>
        <w:tabs>
          <w:tab w:val="left" w:pos="624"/>
        </w:tabs>
        <w:spacing w:after="120"/>
        <w:ind w:left="1247" w:firstLine="624"/>
      </w:pPr>
      <w:r>
        <w:rPr>
          <w:i/>
        </w:rPr>
        <w:t>Requests</w:t>
      </w:r>
      <w:r>
        <w:t xml:space="preserve"> the secretariat of the Minamata Convention to collect the information received from the existing regional, </w:t>
      </w:r>
      <w:proofErr w:type="spellStart"/>
      <w:r>
        <w:t>subregional</w:t>
      </w:r>
      <w:proofErr w:type="spellEnd"/>
      <w:r>
        <w:t xml:space="preserve"> and national arrangements on their capacity-building and technical assistance to support parties in implementing their obligations under the Minamata Convention, and also requests the secretariat to report thereon to the Conference of the Parties at its third meeting;</w:t>
      </w:r>
    </w:p>
    <w:p w14:paraId="4FF99F5B" w14:textId="77777777" w:rsidR="00EE49FD" w:rsidRDefault="00EE49FD" w:rsidP="00EE49FD">
      <w:pPr>
        <w:pStyle w:val="Normal-pool"/>
        <w:numPr>
          <w:ilvl w:val="0"/>
          <w:numId w:val="102"/>
        </w:numPr>
        <w:tabs>
          <w:tab w:val="left" w:pos="624"/>
        </w:tabs>
        <w:spacing w:after="120"/>
        <w:ind w:left="1247" w:firstLine="624"/>
      </w:pPr>
      <w:r>
        <w:rPr>
          <w:i/>
        </w:rPr>
        <w:t>Emphasizes</w:t>
      </w:r>
      <w:r>
        <w:t xml:space="preserve"> the relevance of using, as appropriate, regional, </w:t>
      </w:r>
      <w:proofErr w:type="spellStart"/>
      <w:r>
        <w:t>subregional</w:t>
      </w:r>
      <w:proofErr w:type="spellEnd"/>
      <w:r>
        <w:t xml:space="preserve"> and national arrangements, including existing regional and </w:t>
      </w:r>
      <w:proofErr w:type="spellStart"/>
      <w:r>
        <w:t>subregional</w:t>
      </w:r>
      <w:proofErr w:type="spellEnd"/>
      <w:r>
        <w:t xml:space="preserve"> centres, in the delivery of capacity-building and technical assistance consistent with article 14 of the Convention.</w:t>
      </w:r>
    </w:p>
    <w:p w14:paraId="74A2DEE9" w14:textId="2B7D0CCD" w:rsidR="003F4DA7" w:rsidRPr="00EE49FD" w:rsidRDefault="003F4DA7" w:rsidP="00EE49FD">
      <w:pPr>
        <w:pStyle w:val="Normal-pool"/>
        <w:rPr>
          <w:rFonts w:eastAsia="MS Mincho"/>
        </w:rPr>
      </w:pPr>
    </w:p>
    <w:sectPr w:rsidR="003F4DA7" w:rsidRPr="00EE49FD" w:rsidSect="007D789B">
      <w:headerReference w:type="even" r:id="rId13"/>
      <w:headerReference w:type="default" r:id="rId14"/>
      <w:footerReference w:type="even" r:id="rId15"/>
      <w:footerReference w:type="default" r:id="rId16"/>
      <w:headerReference w:type="first" r:id="rId17"/>
      <w:footerReference w:type="first" r:id="rId18"/>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C9AC8" w14:textId="77777777" w:rsidR="00B2441D" w:rsidRDefault="00B2441D">
      <w:r>
        <w:separator/>
      </w:r>
    </w:p>
  </w:endnote>
  <w:endnote w:type="continuationSeparator" w:id="0">
    <w:p w14:paraId="1E2F11E5" w14:textId="77777777" w:rsidR="00B2441D" w:rsidRDefault="00B2441D">
      <w:r>
        <w:continuationSeparator/>
      </w:r>
    </w:p>
  </w:endnote>
  <w:endnote w:type="continuationNotice" w:id="1">
    <w:p w14:paraId="1717E183" w14:textId="77777777" w:rsidR="00B2441D" w:rsidRDefault="00B244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BD9F1" w14:textId="77777777" w:rsidR="00EE49FD" w:rsidRDefault="00EE49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2C1A6" w14:textId="77777777" w:rsidR="00EE49FD" w:rsidRDefault="00EE49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E8B00" w14:textId="77777777" w:rsidR="00B2441D" w:rsidRPr="008D1ED6" w:rsidRDefault="00B2441D"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2648991D" w14:textId="77777777" w:rsidR="00B2441D" w:rsidRDefault="00B2441D">
      <w:r>
        <w:continuationSeparator/>
      </w:r>
    </w:p>
  </w:footnote>
  <w:footnote w:type="continuationNotice" w:id="1">
    <w:p w14:paraId="4B87ED62" w14:textId="77777777" w:rsidR="00B2441D" w:rsidRDefault="00B244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1DF52B7A" w:rsidR="005629FD" w:rsidRPr="00417FE2" w:rsidRDefault="005629FD">
    <w:pPr>
      <w:pStyle w:val="Header"/>
      <w:rPr>
        <w:szCs w:val="18"/>
      </w:rPr>
    </w:pPr>
    <w:r w:rsidRPr="009C52E8">
      <w:rPr>
        <w:bCs/>
        <w:szCs w:val="18"/>
      </w:rPr>
      <w:t>UNEP</w:t>
    </w:r>
    <w:r w:rsidRPr="009C52E8">
      <w:rPr>
        <w:szCs w:val="18"/>
      </w:rPr>
      <w:t>/MC/COP.</w:t>
    </w:r>
    <w:r w:rsidR="005033B1">
      <w:rPr>
        <w:szCs w:val="18"/>
      </w:rPr>
      <w:t>2</w:t>
    </w:r>
    <w:r w:rsidRPr="009C52E8">
      <w:rPr>
        <w:szCs w:val="18"/>
      </w:rPr>
      <w:t>/</w:t>
    </w:r>
    <w:r w:rsidR="006B4F0C">
      <w:rPr>
        <w:szCs w:val="18"/>
      </w:rPr>
      <w:t>Dec.1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2DC9294B" w:rsidR="005629FD" w:rsidRPr="00417FE2"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25DBE947" w:rsidR="005629FD" w:rsidRPr="003F4DA7" w:rsidRDefault="005629FD" w:rsidP="00417FE2">
    <w:pPr>
      <w:pStyle w:val="Header"/>
      <w:jc w:val="right"/>
      <w:rPr>
        <w:szCs w:val="18"/>
      </w:rPr>
    </w:pPr>
    <w:r w:rsidRPr="009C52E8">
      <w:rPr>
        <w:bCs/>
        <w:szCs w:val="18"/>
      </w:rPr>
      <w:t>UNEP</w:t>
    </w:r>
    <w:r w:rsidRPr="009C52E8">
      <w:rPr>
        <w:szCs w:val="18"/>
      </w:rPr>
      <w:t>/MC/COP.</w:t>
    </w:r>
    <w:r w:rsidR="005033B1">
      <w:rPr>
        <w:szCs w:val="18"/>
      </w:rPr>
      <w:t>2</w:t>
    </w:r>
    <w:r w:rsidRPr="009C52E8">
      <w:rPr>
        <w:szCs w:val="18"/>
      </w:rPr>
      <w:t>/</w:t>
    </w:r>
    <w:r w:rsidR="009F2A42">
      <w:rPr>
        <w:szCs w:val="18"/>
      </w:rPr>
      <w:t>Dec.</w:t>
    </w:r>
    <w:r w:rsidR="00EE49FD">
      <w:rPr>
        <w:szCs w:val="18"/>
      </w:rPr>
      <w:t>1</w:t>
    </w:r>
    <w:r w:rsidR="009F2A42">
      <w:rPr>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57B5EA1"/>
    <w:multiLevelType w:val="hybridMultilevel"/>
    <w:tmpl w:val="2638BFC6"/>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start w:val="1"/>
      <w:numFmt w:val="lowerRoman"/>
      <w:lvlText w:val="%3."/>
      <w:lvlJc w:val="right"/>
      <w:pPr>
        <w:ind w:left="4031" w:hanging="180"/>
      </w:pPr>
    </w:lvl>
    <w:lvl w:ilvl="3" w:tplc="0809000F">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9"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3"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4"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6"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3"/>
  </w:num>
  <w:num w:numId="2">
    <w:abstractNumId w:val="12"/>
  </w:num>
  <w:num w:numId="3">
    <w:abstractNumId w:val="27"/>
  </w:num>
  <w:num w:numId="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2"/>
  </w:num>
  <w:num w:numId="9">
    <w:abstractNumId w:val="17"/>
  </w:num>
  <w:num w:numId="10">
    <w:abstractNumId w:val="36"/>
  </w:num>
  <w:num w:numId="11">
    <w:abstractNumId w:val="3"/>
  </w:num>
  <w:num w:numId="12">
    <w:abstractNumId w:val="63"/>
  </w:num>
  <w:num w:numId="13">
    <w:abstractNumId w:val="44"/>
  </w:num>
  <w:num w:numId="14">
    <w:abstractNumId w:val="29"/>
  </w:num>
  <w:num w:numId="15">
    <w:abstractNumId w:val="8"/>
  </w:num>
  <w:num w:numId="16">
    <w:abstractNumId w:val="59"/>
  </w:num>
  <w:num w:numId="1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8"/>
  </w:num>
  <w:num w:numId="19">
    <w:abstractNumId w:val="18"/>
  </w:num>
  <w:num w:numId="20">
    <w:abstractNumId w:val="50"/>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num>
  <w:num w:numId="27">
    <w:abstractNumId w:val="10"/>
  </w:num>
  <w:num w:numId="28">
    <w:abstractNumId w:val="56"/>
  </w:num>
  <w:num w:numId="29">
    <w:abstractNumId w:val="30"/>
  </w:num>
  <w:num w:numId="30">
    <w:abstractNumId w:val="52"/>
  </w:num>
  <w:num w:numId="31">
    <w:abstractNumId w:val="46"/>
  </w:num>
  <w:num w:numId="32">
    <w:abstractNumId w:val="64"/>
  </w:num>
  <w:num w:numId="33">
    <w:abstractNumId w:val="33"/>
  </w:num>
  <w:num w:numId="34">
    <w:abstractNumId w:val="24"/>
  </w:num>
  <w:num w:numId="35">
    <w:abstractNumId w:val="9"/>
  </w:num>
  <w:num w:numId="36">
    <w:abstractNumId w:val="45"/>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43"/>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3"/>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7"/>
  </w:num>
  <w:num w:numId="47">
    <w:abstractNumId w:val="21"/>
  </w:num>
  <w:num w:numId="48">
    <w:abstractNumId w:val="0"/>
  </w:num>
  <w:num w:numId="49">
    <w:abstractNumId w:val="39"/>
  </w:num>
  <w:num w:numId="50">
    <w:abstractNumId w:val="41"/>
  </w:num>
  <w:num w:numId="51">
    <w:abstractNumId w:val="40"/>
  </w:num>
  <w:num w:numId="52">
    <w:abstractNumId w:val="47"/>
  </w:num>
  <w:num w:numId="53">
    <w:abstractNumId w:val="49"/>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1"/>
  </w:num>
  <w:num w:numId="58">
    <w:abstractNumId w:val="38"/>
  </w:num>
  <w:num w:numId="59">
    <w:abstractNumId w:val="5"/>
  </w:num>
  <w:num w:numId="60">
    <w:abstractNumId w:val="35"/>
  </w:num>
  <w:num w:numId="61">
    <w:abstractNumId w:val="16"/>
  </w:num>
  <w:num w:numId="62">
    <w:abstractNumId w:val="22"/>
  </w:num>
  <w:num w:numId="63">
    <w:abstractNumId w:val="34"/>
  </w:num>
  <w:num w:numId="64">
    <w:abstractNumId w:val="4"/>
  </w:num>
  <w:num w:numId="6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3"/>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28"/>
  </w:num>
  <w:num w:numId="10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28DA"/>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00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30E"/>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33B1"/>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3688"/>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1F8D"/>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49FD"/>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461390110">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A7512441-975B-4C3C-9066-F0672740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1</Pages>
  <Words>352</Words>
  <Characters>2037</Characters>
  <Application>Microsoft Office Word</Application>
  <DocSecurity>0</DocSecurity>
  <Lines>43</Lines>
  <Paragraphs>24</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2365</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19</cp:revision>
  <cp:lastPrinted>2020-05-15T11:26:00Z</cp:lastPrinted>
  <dcterms:created xsi:type="dcterms:W3CDTF">2020-10-15T16:27:00Z</dcterms:created>
  <dcterms:modified xsi:type="dcterms:W3CDTF">2020-10-29T12:49:00Z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