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1E7BF4A0"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3F345C">
              <w:rPr>
                <w:rFonts w:cs="Times New Roman"/>
                <w:szCs w:val="20"/>
              </w:rPr>
              <w:t>11</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bookmarkEnd w:id="2"/>
    <w:p w14:paraId="48689399" w14:textId="2680CD26" w:rsidR="000B3148" w:rsidRPr="0057396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03C58AB0" w14:textId="77777777" w:rsidR="003F345C" w:rsidRPr="009A6BF5" w:rsidRDefault="003F345C" w:rsidP="003F345C">
      <w:pPr>
        <w:pStyle w:val="Normalnumber"/>
        <w:numPr>
          <w:ilvl w:val="0"/>
          <w:numId w:val="0"/>
        </w:numPr>
        <w:tabs>
          <w:tab w:val="left" w:pos="1841"/>
          <w:tab w:val="left" w:pos="2408"/>
          <w:tab w:val="left" w:pos="2975"/>
        </w:tabs>
        <w:bidi/>
        <w:spacing w:after="240" w:line="400" w:lineRule="exact"/>
        <w:ind w:left="1134"/>
        <w:jc w:val="both"/>
        <w:textDirection w:val="tbRlV"/>
        <w:outlineLvl w:val="0"/>
        <w:rPr>
          <w:rFonts w:eastAsia="Calibri" w:hAnsi="Calibri"/>
          <w:b/>
          <w:sz w:val="32"/>
          <w:szCs w:val="32"/>
          <w:rtl/>
          <w:lang w:val="ar-SA" w:eastAsia="zh-TW"/>
        </w:rPr>
      </w:pPr>
      <w:bookmarkStart w:id="3" w:name="_Toc11753095"/>
      <w:r w:rsidRPr="009A6BF5">
        <w:rPr>
          <w:rFonts w:ascii="Traditional Arabic" w:hAnsi="Traditional Arabic" w:cs="Traditional Arabic"/>
          <w:b/>
          <w:bCs/>
          <w:sz w:val="32"/>
          <w:szCs w:val="32"/>
          <w:rtl/>
          <w:lang w:eastAsia="zh-TW"/>
        </w:rPr>
        <w:t>المقرر ا م-2/11: المادة 14: بناء القدرات والمساعدة التِقنية ونقل التكنولوجيا</w:t>
      </w:r>
      <w:bookmarkEnd w:id="3"/>
    </w:p>
    <w:p w14:paraId="4C664765" w14:textId="77777777" w:rsidR="003F345C" w:rsidRPr="009A6BF5" w:rsidRDefault="003F345C" w:rsidP="003F345C">
      <w:pPr>
        <w:tabs>
          <w:tab w:val="left" w:pos="2408"/>
        </w:tabs>
        <w:bidi/>
        <w:spacing w:after="120" w:line="400" w:lineRule="exact"/>
        <w:ind w:left="1132" w:firstLine="709"/>
        <w:jc w:val="both"/>
        <w:textDirection w:val="tbRlV"/>
        <w:rPr>
          <w:rFonts w:eastAsia="Calibri" w:hAnsi="Calibri"/>
          <w:rtl/>
          <w:lang w:val="ar-SA" w:eastAsia="zh-TW"/>
        </w:rPr>
      </w:pPr>
      <w:r w:rsidRPr="00567C29">
        <w:rPr>
          <w:rFonts w:eastAsia="Calibri" w:hAnsi="Calibri"/>
          <w:i/>
          <w:iCs/>
          <w:rtl/>
          <w:lang w:val="en-GB"/>
        </w:rPr>
        <w:t>إن مؤتمر الأطراف،</w:t>
      </w:r>
    </w:p>
    <w:p w14:paraId="0ACDD625" w14:textId="77777777" w:rsidR="003F345C" w:rsidRPr="00567C29" w:rsidRDefault="003F345C" w:rsidP="003F345C">
      <w:pPr>
        <w:tabs>
          <w:tab w:val="left" w:pos="2408"/>
        </w:tabs>
        <w:bidi/>
        <w:spacing w:after="120" w:line="400" w:lineRule="exact"/>
        <w:ind w:left="1132" w:firstLine="709"/>
        <w:jc w:val="both"/>
        <w:textDirection w:val="tbRlV"/>
        <w:rPr>
          <w:rFonts w:eastAsia="Calibri" w:hAnsi="Calibri"/>
          <w:rtl/>
          <w:lang w:val="ar-SA" w:eastAsia="zh-TW"/>
        </w:rPr>
      </w:pPr>
      <w:bookmarkStart w:id="4" w:name="_Hlk530301547"/>
      <w:r w:rsidRPr="00567C29">
        <w:rPr>
          <w:rFonts w:eastAsia="Calibri" w:hAnsi="Calibri"/>
          <w:i/>
          <w:iCs/>
          <w:rtl/>
          <w:lang w:val="en-GB"/>
        </w:rPr>
        <w:t>إذ يشير</w:t>
      </w:r>
      <w:r w:rsidRPr="00567C29">
        <w:rPr>
          <w:rFonts w:eastAsia="Calibri" w:hAnsi="Calibri"/>
          <w:rtl/>
          <w:lang w:val="en-GB"/>
        </w:rPr>
        <w:t xml:space="preserve"> إلى المقرر ا م-١/٢١ بشأن بناء القدرات والمساعدة التقنية ونقل التكنولوجيا لاتفاقية </w:t>
      </w:r>
      <w:proofErr w:type="spellStart"/>
      <w:r w:rsidRPr="00567C29">
        <w:rPr>
          <w:rFonts w:eastAsia="Calibri" w:hAnsi="Calibri"/>
          <w:rtl/>
          <w:lang w:val="en-GB"/>
        </w:rPr>
        <w:t>ميناماتا</w:t>
      </w:r>
      <w:proofErr w:type="spellEnd"/>
      <w:r w:rsidRPr="00567C29">
        <w:rPr>
          <w:rFonts w:eastAsia="Calibri" w:hAnsi="Calibri"/>
          <w:rtl/>
          <w:lang w:val="en-GB"/>
        </w:rPr>
        <w:t xml:space="preserve"> بشأن الزئبق، حيث </w:t>
      </w:r>
      <w:proofErr w:type="gramStart"/>
      <w:r w:rsidRPr="00567C29">
        <w:rPr>
          <w:rFonts w:eastAsia="Calibri" w:hAnsi="Calibri"/>
          <w:rtl/>
          <w:lang w:val="en-GB"/>
        </w:rPr>
        <w:t>أن</w:t>
      </w:r>
      <w:proofErr w:type="gramEnd"/>
      <w:r w:rsidRPr="00567C29">
        <w:rPr>
          <w:rFonts w:eastAsia="Calibri" w:hAnsi="Calibri"/>
          <w:rtl/>
          <w:lang w:val="en-GB"/>
        </w:rPr>
        <w:t xml:space="preserve"> من المسلم به أن بعض المراكز الإقليمية ودون الإقليمية القائمة تطور بالفعل مشاريع وأنشطة تتعلق بمسائل الزئبق، </w:t>
      </w:r>
      <w:bookmarkStart w:id="5" w:name="_Toc495572439"/>
      <w:bookmarkEnd w:id="4"/>
      <w:bookmarkEnd w:id="5"/>
    </w:p>
    <w:p w14:paraId="159D04DD" w14:textId="77777777" w:rsidR="003F345C" w:rsidRPr="00567C29" w:rsidRDefault="003F345C" w:rsidP="003F345C">
      <w:pPr>
        <w:tabs>
          <w:tab w:val="left" w:pos="2408"/>
        </w:tabs>
        <w:bidi/>
        <w:spacing w:after="120" w:line="400" w:lineRule="exact"/>
        <w:ind w:left="1132" w:firstLine="709"/>
        <w:jc w:val="both"/>
        <w:textDirection w:val="tbRlV"/>
        <w:rPr>
          <w:rFonts w:eastAsia="Calibri" w:hAnsi="Calibri"/>
          <w:rtl/>
          <w:lang w:val="ar-SA" w:eastAsia="zh-TW"/>
        </w:rPr>
      </w:pPr>
      <w:r w:rsidRPr="00567C29">
        <w:rPr>
          <w:rFonts w:eastAsia="Calibri" w:hAnsi="Calibri"/>
          <w:i/>
          <w:iCs/>
          <w:rtl/>
          <w:lang w:val="en-GB"/>
        </w:rPr>
        <w:t>وإذ يؤكد</w:t>
      </w:r>
      <w:r w:rsidRPr="00567C29">
        <w:rPr>
          <w:rFonts w:eastAsia="Calibri" w:hAnsi="Calibri"/>
          <w:rtl/>
          <w:lang w:val="en-GB"/>
        </w:rPr>
        <w:t xml:space="preserve"> أهمية المراكز باعتبارها من الأدوات الرئيسية لتعزيز تقديم المساعدة التقنية وبناء القدرات فضلاً عن دعم الجهود الوطنية في البلدان النامية والبلدان التي تمر اقتصاداتها بمرحلة انتقال من أجل تنفيذ اتفاقيات مجموعة المواد الكيميائية والنفايات،</w:t>
      </w:r>
    </w:p>
    <w:p w14:paraId="43D04756" w14:textId="77777777" w:rsidR="003F345C" w:rsidRPr="00567C29" w:rsidRDefault="003F345C" w:rsidP="003F345C">
      <w:pPr>
        <w:tabs>
          <w:tab w:val="left" w:pos="2408"/>
        </w:tabs>
        <w:bidi/>
        <w:spacing w:after="120" w:line="400" w:lineRule="exact"/>
        <w:ind w:left="1132" w:firstLine="709"/>
        <w:jc w:val="both"/>
        <w:textDirection w:val="tbRlV"/>
        <w:rPr>
          <w:rFonts w:eastAsia="Calibri" w:hAnsi="Calibri" w:cs="Times New Roman"/>
          <w:rtl/>
          <w:lang w:val="ar-SA" w:eastAsia="zh-TW"/>
        </w:rPr>
      </w:pPr>
      <w:r w:rsidRPr="00567C29">
        <w:rPr>
          <w:rFonts w:eastAsia="Calibri" w:hAnsi="Calibri"/>
          <w:i/>
          <w:iCs/>
          <w:rtl/>
          <w:lang w:val="en-GB"/>
        </w:rPr>
        <w:t>وإذ يبرز</w:t>
      </w:r>
      <w:r w:rsidRPr="00567C29">
        <w:rPr>
          <w:rFonts w:eastAsia="Calibri" w:hAnsi="Calibri"/>
          <w:rtl/>
          <w:lang w:val="en-GB"/>
        </w:rPr>
        <w:t xml:space="preserve"> الدور الكبير للأنشطة التي تطورها بعض المراكز الإقليمية والتنسيقية التابعة لاتفاقية بازل بشأن التحكم في نقل النفايات الخطرة والتخلص منها عبر الحدود واتفاقية استكهولم بشأن الملوثات العضوية الثابتة فيما يتعلق بمسائل الزئبق والمشاريع والأنشطة في مجال بناء القدرات ونقل التكنولوجيا ونشر المعلومات، </w:t>
      </w:r>
      <w:r>
        <w:rPr>
          <w:rFonts w:eastAsia="Calibri" w:hAnsi="Calibri" w:hint="cs"/>
          <w:rtl/>
          <w:lang w:val="en-GB"/>
        </w:rPr>
        <w:t>وفق ما يتبين من</w:t>
      </w:r>
      <w:r w:rsidRPr="00567C29">
        <w:rPr>
          <w:rFonts w:eastAsia="Calibri" w:hAnsi="Calibri"/>
          <w:rtl/>
          <w:lang w:val="en-GB"/>
        </w:rPr>
        <w:t xml:space="preserve"> </w:t>
      </w:r>
      <w:r>
        <w:rPr>
          <w:rFonts w:eastAsia="Calibri" w:hAnsi="Calibri" w:hint="cs"/>
          <w:rtl/>
          <w:lang w:val="en-GB"/>
        </w:rPr>
        <w:t>ا</w:t>
      </w:r>
      <w:r w:rsidRPr="00567C29">
        <w:rPr>
          <w:rFonts w:eastAsia="Calibri" w:hAnsi="Calibri"/>
          <w:rtl/>
          <w:lang w:val="en-GB"/>
        </w:rPr>
        <w:t>لمعلومات التي جمعتها الأمانة بموجب المقرر ا م-1/21،</w:t>
      </w:r>
    </w:p>
    <w:p w14:paraId="284D78CC" w14:textId="77777777" w:rsidR="003F345C" w:rsidRPr="00567C29" w:rsidRDefault="003F345C" w:rsidP="003F345C">
      <w:pPr>
        <w:tabs>
          <w:tab w:val="left" w:pos="2408"/>
        </w:tabs>
        <w:bidi/>
        <w:spacing w:after="120" w:line="400" w:lineRule="exact"/>
        <w:ind w:left="1132" w:firstLine="709"/>
        <w:jc w:val="both"/>
        <w:textDirection w:val="tbRlV"/>
        <w:rPr>
          <w:rFonts w:eastAsia="Calibri" w:hAnsi="Calibri"/>
          <w:rtl/>
          <w:lang w:val="ar-SA" w:eastAsia="zh-TW"/>
        </w:rPr>
      </w:pPr>
      <w:r w:rsidRPr="00567C29">
        <w:rPr>
          <w:rFonts w:eastAsia="Calibri" w:hAnsi="Calibri"/>
          <w:i/>
          <w:iCs/>
          <w:rtl/>
          <w:lang w:val="en-GB"/>
        </w:rPr>
        <w:t>وإذ يأخذ في الاعتبار</w:t>
      </w:r>
      <w:r w:rsidRPr="00567C29">
        <w:rPr>
          <w:rFonts w:eastAsia="Calibri" w:hAnsi="Calibri"/>
          <w:rtl/>
          <w:lang w:val="en-GB"/>
        </w:rPr>
        <w:t xml:space="preserve"> الترتيبات الرسمية بين المراكز الإقليمية ودون الإقليمية وأمانة اتفاقيات بازل وروتردام واستكهولم،</w:t>
      </w:r>
    </w:p>
    <w:p w14:paraId="3F1FF9AF" w14:textId="77777777" w:rsidR="003F345C" w:rsidRPr="00567C29" w:rsidRDefault="003F345C" w:rsidP="003F345C">
      <w:pPr>
        <w:numPr>
          <w:ilvl w:val="0"/>
          <w:numId w:val="19"/>
        </w:numPr>
        <w:tabs>
          <w:tab w:val="left" w:pos="1247"/>
          <w:tab w:val="left" w:pos="1814"/>
          <w:tab w:val="left" w:pos="2381"/>
          <w:tab w:val="left" w:pos="2408"/>
          <w:tab w:val="left" w:pos="2948"/>
          <w:tab w:val="left" w:pos="3515"/>
        </w:tabs>
        <w:bidi/>
        <w:spacing w:after="120" w:line="400" w:lineRule="exact"/>
        <w:ind w:left="1132" w:firstLine="709"/>
        <w:jc w:val="both"/>
        <w:textDirection w:val="tbRlV"/>
        <w:rPr>
          <w:rFonts w:eastAsia="Calibri" w:hAnsi="Calibri"/>
          <w:rtl/>
          <w:lang w:val="ar-SA" w:eastAsia="zh-TW"/>
        </w:rPr>
      </w:pPr>
      <w:r w:rsidRPr="00567C29">
        <w:rPr>
          <w:rFonts w:eastAsia="Calibri" w:hAnsi="Calibri"/>
          <w:i/>
          <w:iCs/>
          <w:rtl/>
          <w:lang w:val="en-GB"/>
        </w:rPr>
        <w:lastRenderedPageBreak/>
        <w:t>يطلب</w:t>
      </w:r>
      <w:r w:rsidRPr="00567C29">
        <w:rPr>
          <w:rFonts w:eastAsia="Calibri" w:hAnsi="Calibri"/>
          <w:rtl/>
          <w:lang w:val="en-GB"/>
        </w:rPr>
        <w:t xml:space="preserve"> إلى أمانة اتفاقية </w:t>
      </w:r>
      <w:proofErr w:type="spellStart"/>
      <w:r w:rsidRPr="00567C29">
        <w:rPr>
          <w:rFonts w:eastAsia="Calibri" w:hAnsi="Calibri"/>
          <w:rtl/>
          <w:lang w:val="en-GB"/>
        </w:rPr>
        <w:t>ميناماتا</w:t>
      </w:r>
      <w:proofErr w:type="spellEnd"/>
      <w:r w:rsidRPr="00567C29">
        <w:rPr>
          <w:rFonts w:eastAsia="Calibri" w:hAnsi="Calibri"/>
          <w:rtl/>
          <w:lang w:val="en-GB"/>
        </w:rPr>
        <w:t xml:space="preserve"> أن تجمع المعلومات المقدمة من الترتيبات الإقليمية ودون الإقليمية والوطنية القائمة عن بناء القدرات والمساعدة التقنية فيها لدعم الأطراف في تنفيذ التزاماتها بموجب اتفاقية </w:t>
      </w:r>
      <w:proofErr w:type="spellStart"/>
      <w:r w:rsidRPr="00567C29">
        <w:rPr>
          <w:rFonts w:eastAsia="Calibri" w:hAnsi="Calibri"/>
          <w:rtl/>
          <w:lang w:val="en-GB"/>
        </w:rPr>
        <w:t>ميناماتا</w:t>
      </w:r>
      <w:proofErr w:type="spellEnd"/>
      <w:r w:rsidRPr="00567C29">
        <w:rPr>
          <w:rFonts w:eastAsia="Calibri" w:hAnsi="Calibri"/>
          <w:rtl/>
          <w:lang w:val="en-GB"/>
        </w:rPr>
        <w:t>، ويطلب أيضاً إلى الأمانة أن تقدم تقريراً عن ذلك إلى مؤتمر الأطراف في اجتماعه الثالث؛</w:t>
      </w:r>
    </w:p>
    <w:p w14:paraId="48BA84AB" w14:textId="77777777" w:rsidR="003F345C" w:rsidRDefault="003F345C" w:rsidP="003F345C">
      <w:pPr>
        <w:numPr>
          <w:ilvl w:val="0"/>
          <w:numId w:val="19"/>
        </w:numPr>
        <w:tabs>
          <w:tab w:val="left" w:pos="1247"/>
          <w:tab w:val="left" w:pos="1814"/>
          <w:tab w:val="left" w:pos="2381"/>
          <w:tab w:val="left" w:pos="2408"/>
          <w:tab w:val="left" w:pos="2948"/>
          <w:tab w:val="left" w:pos="3515"/>
        </w:tabs>
        <w:bidi/>
        <w:spacing w:after="120" w:line="400" w:lineRule="exact"/>
        <w:ind w:left="1132" w:firstLine="709"/>
        <w:jc w:val="both"/>
        <w:textDirection w:val="tbRlV"/>
        <w:rPr>
          <w:rFonts w:ascii="Traditional Arabic" w:hAnsi="Traditional Arabic"/>
          <w:b/>
          <w:bCs/>
          <w:sz w:val="32"/>
          <w:szCs w:val="32"/>
          <w:rtl/>
          <w:lang w:eastAsia="zh-TW"/>
        </w:rPr>
      </w:pPr>
      <w:r w:rsidRPr="00E062DB">
        <w:rPr>
          <w:rFonts w:eastAsia="Calibri" w:hAnsi="Calibri"/>
          <w:i/>
          <w:iCs/>
          <w:rtl/>
          <w:lang w:val="en-GB"/>
        </w:rPr>
        <w:t>يشدد</w:t>
      </w:r>
      <w:r w:rsidRPr="00567C29">
        <w:rPr>
          <w:rFonts w:eastAsia="Calibri" w:hAnsi="Calibri"/>
          <w:rtl/>
          <w:lang w:val="en-GB"/>
        </w:rPr>
        <w:t xml:space="preserve"> على أهمية الاستعانة، حسب الاقتضاء، بالترتيبات الإقليمية ودون الإقليمية والوطنية، بما في ذلك المراكز الإقليمية ودون الإقليمية القائمة، في تنفيذ بناء القدرات والمساعدة التقنية بما يتوافق مع المادة ١٤ من الاتفاقية.</w:t>
      </w:r>
    </w:p>
    <w:p w14:paraId="6CFBACCB" w14:textId="43309F9D" w:rsidR="00226F2D" w:rsidRDefault="00226F2D" w:rsidP="003F345C">
      <w:pPr>
        <w:pStyle w:val="SingleTxt"/>
        <w:tabs>
          <w:tab w:val="left" w:pos="2408"/>
        </w:tabs>
        <w:bidi/>
        <w:ind w:left="0" w:right="0"/>
        <w:jc w:val="both"/>
        <w:rPr>
          <w:rFonts w:ascii="Traditional Arabic" w:hAnsi="Traditional Arabic"/>
          <w:b/>
          <w:bCs/>
          <w:sz w:val="30"/>
          <w:lang w:val="fr-FR" w:bidi="ar-MA"/>
        </w:rPr>
      </w:pPr>
    </w:p>
    <w:sectPr w:rsidR="00226F2D"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B8B8" w14:textId="77777777" w:rsidR="00E274F9" w:rsidRDefault="00E274F9">
      <w:r>
        <w:separator/>
      </w:r>
    </w:p>
  </w:endnote>
  <w:endnote w:type="continuationSeparator" w:id="0">
    <w:p w14:paraId="57371346" w14:textId="77777777" w:rsidR="00E274F9" w:rsidRDefault="00E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C6B6" w14:textId="77777777" w:rsidR="00E274F9" w:rsidRDefault="00E274F9" w:rsidP="008A79DC">
      <w:pPr>
        <w:bidi/>
        <w:ind w:left="720"/>
      </w:pPr>
      <w:r>
        <w:separator/>
      </w:r>
    </w:p>
  </w:footnote>
  <w:footnote w:type="continuationSeparator" w:id="0">
    <w:p w14:paraId="6AA960B6" w14:textId="77777777" w:rsidR="00E274F9" w:rsidRDefault="00E2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64F1CC17"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w:t>
    </w:r>
    <w:r w:rsidR="003F345C">
      <w:rPr>
        <w:b/>
        <w:bCs/>
        <w:sz w:val="17"/>
        <w:szCs w:val="17"/>
        <w:lang w:val="fr-FR"/>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6DB92722"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w:t>
    </w:r>
    <w:r w:rsidR="00226F2D">
      <w:rPr>
        <w:rFonts w:cs="Times New Roman"/>
        <w:b/>
        <w:bCs/>
        <w:sz w:val="17"/>
        <w:szCs w:val="17"/>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7CC4E1EC">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C4E4DB7E" w:tentative="1">
        <w:start w:val="1"/>
        <w:numFmt w:val="lowerLetter"/>
        <w:lvlText w:val="%2."/>
        <w:lvlJc w:val="left"/>
        <w:pPr>
          <w:ind w:left="1440" w:hanging="360"/>
        </w:pPr>
      </w:lvl>
    </w:lvlOverride>
    <w:lvlOverride w:ilvl="2">
      <w:lvl w:ilvl="2" w:tplc="FC6EC432" w:tentative="1">
        <w:start w:val="1"/>
        <w:numFmt w:val="lowerRoman"/>
        <w:lvlText w:val="%3."/>
        <w:lvlJc w:val="right"/>
        <w:pPr>
          <w:ind w:left="2160" w:hanging="180"/>
        </w:pPr>
      </w:lvl>
    </w:lvlOverride>
    <w:lvlOverride w:ilvl="3">
      <w:lvl w:ilvl="3" w:tplc="3C52A0F0" w:tentative="1">
        <w:start w:val="1"/>
        <w:numFmt w:val="decimal"/>
        <w:lvlText w:val="%4."/>
        <w:lvlJc w:val="left"/>
        <w:pPr>
          <w:ind w:left="2880" w:hanging="360"/>
        </w:pPr>
      </w:lvl>
    </w:lvlOverride>
    <w:lvlOverride w:ilvl="4">
      <w:lvl w:ilvl="4" w:tplc="AA9248B6" w:tentative="1">
        <w:start w:val="1"/>
        <w:numFmt w:val="lowerLetter"/>
        <w:lvlText w:val="%5."/>
        <w:lvlJc w:val="left"/>
        <w:pPr>
          <w:ind w:left="3600" w:hanging="360"/>
        </w:pPr>
      </w:lvl>
    </w:lvlOverride>
    <w:lvlOverride w:ilvl="5">
      <w:lvl w:ilvl="5" w:tplc="EE8AEA36" w:tentative="1">
        <w:start w:val="1"/>
        <w:numFmt w:val="lowerRoman"/>
        <w:lvlText w:val="%6."/>
        <w:lvlJc w:val="right"/>
        <w:pPr>
          <w:ind w:left="4320" w:hanging="180"/>
        </w:pPr>
      </w:lvl>
    </w:lvlOverride>
    <w:lvlOverride w:ilvl="6">
      <w:lvl w:ilvl="6" w:tplc="9AF079B4" w:tentative="1">
        <w:start w:val="1"/>
        <w:numFmt w:val="decimal"/>
        <w:lvlText w:val="%7."/>
        <w:lvlJc w:val="left"/>
        <w:pPr>
          <w:ind w:left="5040" w:hanging="360"/>
        </w:pPr>
      </w:lvl>
    </w:lvlOverride>
    <w:lvlOverride w:ilvl="7">
      <w:lvl w:ilvl="7" w:tplc="8044152E" w:tentative="1">
        <w:start w:val="1"/>
        <w:numFmt w:val="lowerLetter"/>
        <w:lvlText w:val="%8."/>
        <w:lvlJc w:val="left"/>
        <w:pPr>
          <w:ind w:left="5760" w:hanging="360"/>
        </w:pPr>
      </w:lvl>
    </w:lvlOverride>
    <w:lvlOverride w:ilvl="8">
      <w:lvl w:ilvl="8" w:tplc="02FA7A62" w:tentative="1">
        <w:start w:val="1"/>
        <w:numFmt w:val="lowerRoman"/>
        <w:lvlText w:val="%9."/>
        <w:lvlJc w:val="right"/>
        <w:pPr>
          <w:ind w:left="6480" w:hanging="180"/>
        </w:pPr>
      </w:lvl>
    </w:lvlOverride>
  </w:num>
  <w:num w:numId="15">
    <w:abstractNumId w:val="13"/>
    <w:lvlOverride w:ilvl="0">
      <w:lvl w:ilvl="0" w:tplc="7CC4E1EC">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E4DB7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C6EC43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52A0F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A9248B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E8AEA3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AF079B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044152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2FA7A6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02F73"/>
    <w:rsid w:val="00111DDA"/>
    <w:rsid w:val="001122CD"/>
    <w:rsid w:val="00114D54"/>
    <w:rsid w:val="00115715"/>
    <w:rsid w:val="0012040B"/>
    <w:rsid w:val="00121BB5"/>
    <w:rsid w:val="001223A2"/>
    <w:rsid w:val="00124CC4"/>
    <w:rsid w:val="001273E7"/>
    <w:rsid w:val="00131860"/>
    <w:rsid w:val="00131CE1"/>
    <w:rsid w:val="00133DFE"/>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551"/>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036"/>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26F2D"/>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0775"/>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345C"/>
    <w:rsid w:val="003F6450"/>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22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3968"/>
    <w:rsid w:val="00576C8A"/>
    <w:rsid w:val="00584DBF"/>
    <w:rsid w:val="00584E4D"/>
    <w:rsid w:val="00590B41"/>
    <w:rsid w:val="00591B2C"/>
    <w:rsid w:val="00591B8E"/>
    <w:rsid w:val="00591CA9"/>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730F"/>
    <w:rsid w:val="0063097B"/>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5CBE"/>
    <w:rsid w:val="00706852"/>
    <w:rsid w:val="00712158"/>
    <w:rsid w:val="00717FD1"/>
    <w:rsid w:val="00720D77"/>
    <w:rsid w:val="00724648"/>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57F9D"/>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37E1B"/>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07F69"/>
    <w:rsid w:val="00920062"/>
    <w:rsid w:val="0092201E"/>
    <w:rsid w:val="0092522D"/>
    <w:rsid w:val="00926C1F"/>
    <w:rsid w:val="009277D4"/>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2781D"/>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5D6F"/>
    <w:rsid w:val="00BE7B76"/>
    <w:rsid w:val="00BF549B"/>
    <w:rsid w:val="00BF64C6"/>
    <w:rsid w:val="00BF7F42"/>
    <w:rsid w:val="00C02199"/>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100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4F9"/>
    <w:rsid w:val="00E2782D"/>
    <w:rsid w:val="00E323C0"/>
    <w:rsid w:val="00E369DB"/>
    <w:rsid w:val="00E36EB2"/>
    <w:rsid w:val="00E40300"/>
    <w:rsid w:val="00E42B70"/>
    <w:rsid w:val="00E430D3"/>
    <w:rsid w:val="00E45B05"/>
    <w:rsid w:val="00E51266"/>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3680A"/>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92A9B6C6-945E-4DF3-99D7-CEFB028C93A4}"/>
</file>

<file path=customXml/itemProps3.xml><?xml version="1.0" encoding="utf-8"?>
<ds:datastoreItem xmlns:ds="http://schemas.openxmlformats.org/officeDocument/2006/customXml" ds:itemID="{AD8BDDEB-E423-4D35-A347-EC5628665BDE}"/>
</file>

<file path=customXml/itemProps4.xml><?xml version="1.0" encoding="utf-8"?>
<ds:datastoreItem xmlns:ds="http://schemas.openxmlformats.org/officeDocument/2006/customXml" ds:itemID="{2EF5BD25-56AC-4C6C-8B6F-B57A099D8039}"/>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3</cp:revision>
  <cp:lastPrinted>2019-07-17T13:13:00Z</cp:lastPrinted>
  <dcterms:created xsi:type="dcterms:W3CDTF">2020-12-17T10:17:00Z</dcterms:created>
  <dcterms:modified xsi:type="dcterms:W3CDTF">2020-12-17T10:21:00Z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