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2316D8">
        <w:trPr>
          <w:cantSplit/>
          <w:trHeight w:val="850"/>
          <w:jc w:val="right"/>
        </w:trPr>
        <w:tc>
          <w:tcPr>
            <w:tcW w:w="269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09"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292"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2316D8">
        <w:trPr>
          <w:cantSplit/>
          <w:trHeight w:val="281"/>
          <w:jc w:val="right"/>
        </w:trPr>
        <w:tc>
          <w:tcPr>
            <w:tcW w:w="1521"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68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292" w:type="dxa"/>
            <w:tcBorders>
              <w:bottom w:val="single" w:sz="4" w:space="0" w:color="auto"/>
            </w:tcBorders>
          </w:tcPr>
          <w:p w14:paraId="3D105487" w14:textId="529E4B85" w:rsidR="00032E4E" w:rsidRPr="008E14EB"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2316D8">
              <w:rPr>
                <w:lang w:val="en-GB"/>
              </w:rPr>
              <w:t>2</w:t>
            </w:r>
            <w:r w:rsidR="006C310F">
              <w:rPr>
                <w:lang w:val="en-GB"/>
              </w:rPr>
              <w:t>/</w:t>
            </w:r>
            <w:r w:rsidR="006004E9">
              <w:rPr>
                <w:lang w:val="en-GB"/>
              </w:rPr>
              <w:t>Dec.</w:t>
            </w:r>
            <w:r w:rsidR="0057681A">
              <w:rPr>
                <w:lang w:val="en-GB"/>
              </w:rPr>
              <w:t>10</w:t>
            </w:r>
          </w:p>
        </w:tc>
      </w:tr>
      <w:tr w:rsidR="00032E4E" w:rsidRPr="006F76D8" w14:paraId="0344FC84" w14:textId="77777777" w:rsidTr="002316D8">
        <w:trPr>
          <w:cantSplit/>
          <w:trHeight w:val="2549"/>
          <w:jc w:val="right"/>
        </w:trPr>
        <w:tc>
          <w:tcPr>
            <w:tcW w:w="1521"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GB" w:eastAsia="en-GB"/>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GB" w:eastAsia="en-GB"/>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68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292" w:type="dxa"/>
            <w:tcBorders>
              <w:top w:val="single" w:sz="4" w:space="0" w:color="auto"/>
              <w:bottom w:val="single" w:sz="24" w:space="0" w:color="auto"/>
            </w:tcBorders>
          </w:tcPr>
          <w:p w14:paraId="16160027" w14:textId="77777777" w:rsidR="002316D8" w:rsidRPr="00826AF3" w:rsidRDefault="002316D8" w:rsidP="002316D8">
            <w:pPr>
              <w:tabs>
                <w:tab w:val="clear" w:pos="1247"/>
                <w:tab w:val="clear" w:pos="1814"/>
                <w:tab w:val="clear" w:pos="2381"/>
                <w:tab w:val="clear" w:pos="2948"/>
                <w:tab w:val="clear" w:pos="3515"/>
              </w:tabs>
              <w:spacing w:before="120"/>
              <w:rPr>
                <w:lang w:val="en-GB"/>
              </w:rPr>
            </w:pPr>
            <w:r w:rsidRPr="00200ABD">
              <w:rPr>
                <w:lang w:val="en-GB"/>
              </w:rPr>
              <w:t>Distr</w:t>
            </w:r>
            <w:r w:rsidRPr="00826AF3">
              <w:rPr>
                <w:lang w:val="en-GB"/>
              </w:rPr>
              <w:t xml:space="preserve">.: </w:t>
            </w:r>
            <w:r>
              <w:rPr>
                <w:lang w:val="en-GB"/>
              </w:rPr>
              <w:t>General</w:t>
            </w:r>
          </w:p>
          <w:p w14:paraId="65108D37" w14:textId="77777777" w:rsidR="002316D8" w:rsidRPr="00620245" w:rsidRDefault="002316D8" w:rsidP="002316D8">
            <w:pPr>
              <w:tabs>
                <w:tab w:val="clear" w:pos="1247"/>
                <w:tab w:val="clear" w:pos="1814"/>
                <w:tab w:val="clear" w:pos="2381"/>
                <w:tab w:val="clear" w:pos="2948"/>
                <w:tab w:val="clear" w:pos="3515"/>
              </w:tabs>
              <w:rPr>
                <w:lang w:val="en-GB"/>
              </w:rPr>
            </w:pPr>
            <w:r>
              <w:rPr>
                <w:lang w:val="en-GB"/>
              </w:rPr>
              <w:t>6 December</w:t>
            </w:r>
            <w:r w:rsidRPr="00826AF3">
              <w:rPr>
                <w:lang w:val="en-GB"/>
              </w:rPr>
              <w:t xml:space="preserve"> 201</w:t>
            </w:r>
            <w:r>
              <w:rPr>
                <w:lang w:val="en-GB"/>
              </w:rPr>
              <w:t>8</w:t>
            </w:r>
          </w:p>
          <w:p w14:paraId="6F78AAFF" w14:textId="470667E6" w:rsidR="00032E4E" w:rsidRPr="00826AF3" w:rsidRDefault="002316D8" w:rsidP="002316D8">
            <w:pPr>
              <w:tabs>
                <w:tab w:val="clear" w:pos="1247"/>
                <w:tab w:val="clear" w:pos="1814"/>
                <w:tab w:val="clear" w:pos="2381"/>
                <w:tab w:val="clear" w:pos="2948"/>
                <w:tab w:val="clear" w:pos="3515"/>
              </w:tabs>
              <w:spacing w:before="120"/>
              <w:rPr>
                <w:lang w:val="en-GB"/>
              </w:rPr>
            </w:pPr>
            <w:r w:rsidRPr="00200ABD">
              <w:rPr>
                <w:lang w:val="en-GB"/>
              </w:rPr>
              <w:t>Russian</w:t>
            </w:r>
            <w:r w:rsidRPr="00826AF3">
              <w:rPr>
                <w:lang w:val="en-GB"/>
              </w:rPr>
              <w:t xml:space="preserve"> </w:t>
            </w:r>
            <w:r w:rsidRPr="00826AF3">
              <w:rPr>
                <w:lang w:val="en-GB"/>
              </w:rPr>
              <w:br/>
            </w:r>
            <w:r w:rsidRPr="00200ABD">
              <w:rPr>
                <w:lang w:val="en-GB"/>
              </w:rPr>
              <w:t>Original</w:t>
            </w:r>
            <w:r w:rsidRPr="00826AF3">
              <w:rPr>
                <w:lang w:val="en-GB"/>
              </w:rPr>
              <w:t xml:space="preserve">: </w:t>
            </w:r>
            <w:r w:rsidRPr="00200ABD">
              <w:rPr>
                <w:lang w:val="en-GB"/>
              </w:rPr>
              <w:t>English</w:t>
            </w:r>
          </w:p>
        </w:tc>
      </w:tr>
    </w:tbl>
    <w:p w14:paraId="347B989F" w14:textId="77777777" w:rsidR="002316D8" w:rsidRPr="00A54CB9" w:rsidRDefault="002316D8" w:rsidP="002316D8">
      <w:pPr>
        <w:tabs>
          <w:tab w:val="clear" w:pos="1247"/>
          <w:tab w:val="clear" w:pos="1814"/>
          <w:tab w:val="clear" w:pos="2381"/>
          <w:tab w:val="clear" w:pos="2948"/>
          <w:tab w:val="clear" w:pos="3515"/>
        </w:tabs>
        <w:rPr>
          <w:b/>
        </w:rPr>
      </w:pPr>
      <w:r w:rsidRPr="00A54CB9">
        <w:rPr>
          <w:b/>
        </w:rPr>
        <w:t xml:space="preserve">Конференция Сторон </w:t>
      </w:r>
      <w:proofErr w:type="spellStart"/>
      <w:r w:rsidRPr="00A54CB9">
        <w:rPr>
          <w:b/>
        </w:rPr>
        <w:t>Минаматск</w:t>
      </w:r>
      <w:r>
        <w:rPr>
          <w:b/>
        </w:rPr>
        <w:t>ой</w:t>
      </w:r>
      <w:proofErr w:type="spellEnd"/>
      <w:r w:rsidRPr="00A54CB9">
        <w:rPr>
          <w:b/>
        </w:rPr>
        <w:t xml:space="preserve"> конвенци</w:t>
      </w:r>
      <w:r>
        <w:rPr>
          <w:b/>
        </w:rPr>
        <w:t>и</w:t>
      </w:r>
      <w:r w:rsidRPr="00A54CB9">
        <w:rPr>
          <w:b/>
        </w:rPr>
        <w:t xml:space="preserve"> о ртути</w:t>
      </w:r>
    </w:p>
    <w:p w14:paraId="049AE5AE" w14:textId="77777777" w:rsidR="002316D8" w:rsidRPr="00A54CB9" w:rsidRDefault="002316D8" w:rsidP="002316D8">
      <w:pPr>
        <w:tabs>
          <w:tab w:val="clear" w:pos="1247"/>
          <w:tab w:val="clear" w:pos="1814"/>
          <w:tab w:val="clear" w:pos="2381"/>
          <w:tab w:val="clear" w:pos="2948"/>
          <w:tab w:val="clear" w:pos="3515"/>
        </w:tabs>
        <w:rPr>
          <w:b/>
        </w:rPr>
      </w:pPr>
      <w:r>
        <w:rPr>
          <w:b/>
        </w:rPr>
        <w:t>Второе</w:t>
      </w:r>
      <w:r w:rsidRPr="00A54CB9">
        <w:rPr>
          <w:b/>
        </w:rPr>
        <w:t xml:space="preserve"> совещание</w:t>
      </w:r>
    </w:p>
    <w:p w14:paraId="4569F67D" w14:textId="77777777" w:rsidR="002316D8" w:rsidRDefault="002316D8" w:rsidP="002316D8">
      <w:pPr>
        <w:tabs>
          <w:tab w:val="clear" w:pos="1247"/>
          <w:tab w:val="clear" w:pos="1814"/>
          <w:tab w:val="clear" w:pos="2381"/>
          <w:tab w:val="clear" w:pos="2948"/>
          <w:tab w:val="clear" w:pos="3515"/>
        </w:tabs>
      </w:pPr>
      <w:r w:rsidRPr="00A54CB9">
        <w:t xml:space="preserve">Женева, </w:t>
      </w:r>
      <w:r>
        <w:t>19-23</w:t>
      </w:r>
      <w:r w:rsidRPr="00A54CB9">
        <w:t xml:space="preserve"> </w:t>
      </w:r>
      <w:r>
        <w:t>сентября</w:t>
      </w:r>
      <w:r w:rsidRPr="00A54CB9">
        <w:t xml:space="preserve"> 201</w:t>
      </w:r>
      <w:r>
        <w:t>8</w:t>
      </w:r>
      <w:r w:rsidRPr="00A54CB9">
        <w:t xml:space="preserve"> года</w:t>
      </w:r>
    </w:p>
    <w:p w14:paraId="0D2FD4FD" w14:textId="77777777" w:rsidR="006F76D8" w:rsidRDefault="006F76D8" w:rsidP="006F76D8">
      <w:pPr>
        <w:tabs>
          <w:tab w:val="left" w:pos="720"/>
        </w:tabs>
        <w:spacing w:before="360" w:after="240"/>
        <w:ind w:left="1247" w:right="567"/>
        <w:rPr>
          <w:b/>
          <w:bCs/>
          <w:sz w:val="28"/>
          <w:szCs w:val="28"/>
        </w:rPr>
      </w:pPr>
      <w:bookmarkStart w:id="2" w:name="_Toc7079450"/>
      <w:bookmarkStart w:id="3" w:name="_Toc13575455"/>
      <w:bookmarkStart w:id="4" w:name="_Toc13575579"/>
      <w:r>
        <w:rPr>
          <w:b/>
          <w:bCs/>
          <w:sz w:val="28"/>
          <w:szCs w:val="28"/>
        </w:rPr>
        <w:t xml:space="preserve">Решение принятое на втором совещании Конференции Сторон </w:t>
      </w:r>
      <w:proofErr w:type="spellStart"/>
      <w:r>
        <w:rPr>
          <w:b/>
          <w:bCs/>
          <w:sz w:val="28"/>
          <w:szCs w:val="28"/>
        </w:rPr>
        <w:t>Минаматской</w:t>
      </w:r>
      <w:proofErr w:type="spellEnd"/>
      <w:r>
        <w:rPr>
          <w:b/>
          <w:bCs/>
          <w:sz w:val="28"/>
          <w:szCs w:val="28"/>
        </w:rPr>
        <w:t xml:space="preserve"> конвенции о ртути </w:t>
      </w:r>
    </w:p>
    <w:p w14:paraId="741CE894" w14:textId="77777777" w:rsidR="0057681A" w:rsidRPr="0057681A" w:rsidRDefault="0057681A" w:rsidP="0057681A">
      <w:pPr>
        <w:keepNext/>
        <w:tabs>
          <w:tab w:val="clear" w:pos="1247"/>
          <w:tab w:val="clear" w:pos="1814"/>
          <w:tab w:val="clear" w:pos="2381"/>
          <w:tab w:val="clear" w:pos="2948"/>
          <w:tab w:val="clear" w:pos="3515"/>
        </w:tabs>
        <w:spacing w:after="120"/>
        <w:ind w:left="1247" w:right="284"/>
        <w:outlineLvl w:val="0"/>
        <w:rPr>
          <w:b/>
          <w:sz w:val="28"/>
        </w:rPr>
      </w:pPr>
      <w:bookmarkStart w:id="5" w:name="_GoBack"/>
      <w:bookmarkEnd w:id="5"/>
      <w:r w:rsidRPr="0057681A">
        <w:rPr>
          <w:b/>
          <w:sz w:val="28"/>
        </w:rPr>
        <w:t>MК-2/10: Оценка эффективности</w:t>
      </w:r>
      <w:bookmarkEnd w:id="2"/>
      <w:bookmarkEnd w:id="3"/>
      <w:bookmarkEnd w:id="4"/>
    </w:p>
    <w:p w14:paraId="14136F61"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i/>
          <w:iCs/>
        </w:rPr>
        <w:t>Конференция Сторон</w:t>
      </w:r>
      <w:r w:rsidRPr="0057681A">
        <w:t>,</w:t>
      </w:r>
    </w:p>
    <w:p w14:paraId="48A48839"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i/>
          <w:iCs/>
        </w:rPr>
        <w:t>вновь подтверждая</w:t>
      </w:r>
      <w:r w:rsidRPr="0057681A">
        <w:t xml:space="preserve">, что предметом оценки эффективности является оценка общей эффективности Конвенции на глобальном уровне в соответствии с целью </w:t>
      </w:r>
      <w:proofErr w:type="spellStart"/>
      <w:r w:rsidRPr="0057681A">
        <w:t>Минаматской</w:t>
      </w:r>
      <w:proofErr w:type="spellEnd"/>
      <w:r w:rsidRPr="0057681A">
        <w:t xml:space="preserve"> конвенции о ртути (статья 1),</w:t>
      </w:r>
    </w:p>
    <w:p w14:paraId="6B0ABE15"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i/>
          <w:iCs/>
        </w:rPr>
        <w:t>с признательностью отмечая</w:t>
      </w:r>
      <w:r w:rsidRPr="0057681A">
        <w:t xml:space="preserve"> доклад, подготовленный специальной технической группой экспертов по оценке эффективности</w:t>
      </w:r>
      <w:r w:rsidRPr="0057681A">
        <w:rPr>
          <w:vertAlign w:val="superscript"/>
        </w:rPr>
        <w:footnoteReference w:id="1"/>
      </w:r>
      <w:r w:rsidRPr="0057681A">
        <w:t>,</w:t>
      </w:r>
    </w:p>
    <w:p w14:paraId="162B217E"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i/>
          <w:iCs/>
        </w:rPr>
        <w:t>отмечая</w:t>
      </w:r>
      <w:r w:rsidRPr="0057681A">
        <w:t>, что в проекте доклада специальной технической группы экспертов говорится о том, что существуют действующие программы мониторинга, которые могут внести вклад в оценку эффективности, и эти программы мониторинга могут быть дополнительно усилены в духе статьи 19 Конвенции, в которой Стороны призываются осуществлять сотрудничество в деле разработки и улучшения моделирования и географически репрезентативного мониторинга,</w:t>
      </w:r>
    </w:p>
    <w:p w14:paraId="0FB0ADFA"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tab/>
      </w:r>
      <w:r w:rsidRPr="0057681A">
        <w:rPr>
          <w:i/>
          <w:iCs/>
        </w:rPr>
        <w:t>отмечая также</w:t>
      </w:r>
      <w:r w:rsidRPr="0057681A">
        <w:t>, что в проекте доклада также говорится о наличии в различных регионах мира значительных пробелов в данных, и их восполнение с помощью существующих или новых программ мониторинга будет способствовать проведению оценки эффективности,</w:t>
      </w:r>
    </w:p>
    <w:p w14:paraId="080F0313"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t>1.</w:t>
      </w:r>
      <w:r w:rsidRPr="0057681A">
        <w:tab/>
      </w:r>
      <w:r w:rsidRPr="0057681A">
        <w:rPr>
          <w:i/>
          <w:iCs/>
        </w:rPr>
        <w:t>расширяет</w:t>
      </w:r>
      <w:r w:rsidRPr="0057681A">
        <w:t xml:space="preserve"> положение о специальной технической группе экспертов, предусмотренное в решении MК-1/9, для решения вопросов, изложенных в приложении I к настоящему решению;</w:t>
      </w:r>
    </w:p>
    <w:p w14:paraId="42F5ACAB"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t>2.</w:t>
      </w:r>
      <w:r w:rsidRPr="0057681A">
        <w:tab/>
      </w:r>
      <w:r w:rsidRPr="0057681A">
        <w:rPr>
          <w:i/>
          <w:iCs/>
        </w:rPr>
        <w:t>принимает</w:t>
      </w:r>
      <w:r w:rsidRPr="0057681A">
        <w:t xml:space="preserve"> проект плана деятельности, изложенный в приложении II к настоящему решению;</w:t>
      </w:r>
    </w:p>
    <w:p w14:paraId="65EE01DF"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t>3.</w:t>
      </w:r>
      <w:r w:rsidRPr="0057681A">
        <w:tab/>
      </w:r>
      <w:r w:rsidRPr="0057681A">
        <w:rPr>
          <w:i/>
          <w:iCs/>
        </w:rPr>
        <w:t>поручает</w:t>
      </w:r>
      <w:r w:rsidRPr="0057681A">
        <w:t xml:space="preserve"> специальной технической группе экспертов разработать положение о механизмах глобального мониторинга;</w:t>
      </w:r>
    </w:p>
    <w:p w14:paraId="76CABB79"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t>4.</w:t>
      </w:r>
      <w:r w:rsidRPr="0057681A">
        <w:tab/>
      </w:r>
      <w:r w:rsidRPr="0057681A">
        <w:rPr>
          <w:i/>
          <w:iCs/>
        </w:rPr>
        <w:t>просит</w:t>
      </w:r>
      <w:r w:rsidRPr="0057681A">
        <w:t xml:space="preserve"> Стороны, другие правительства и соответствующие организации продолжать предоставлять секретариату информацию о своих программах мониторинга к третьему совещанию Конференции Сторон;</w:t>
      </w:r>
    </w:p>
    <w:p w14:paraId="5A870DA3"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t>5.</w:t>
      </w:r>
      <w:r w:rsidRPr="0057681A">
        <w:tab/>
      </w:r>
      <w:r w:rsidRPr="0057681A">
        <w:rPr>
          <w:i/>
          <w:iCs/>
        </w:rPr>
        <w:t>поручает</w:t>
      </w:r>
      <w:r w:rsidRPr="0057681A">
        <w:t xml:space="preserve"> секретариату оказывать поддержку работе, предусмотренной приложениями I и II к настоящему решению;</w:t>
      </w:r>
    </w:p>
    <w:p w14:paraId="0A2309A6"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lastRenderedPageBreak/>
        <w:t>6.</w:t>
      </w:r>
      <w:r w:rsidRPr="0057681A">
        <w:tab/>
      </w:r>
      <w:r w:rsidRPr="0057681A">
        <w:rPr>
          <w:i/>
          <w:iCs/>
        </w:rPr>
        <w:t>поручает</w:t>
      </w:r>
      <w:r w:rsidRPr="0057681A">
        <w:t xml:space="preserve"> специальной технической группе экспертов представить Конференции Сторон на ее третьем совещании доклад о ходе работы по совершенствованию системы оценки Конвенции, включая механизмы мониторинга; </w:t>
      </w:r>
    </w:p>
    <w:p w14:paraId="7D35DA33"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t>7.</w:t>
      </w:r>
      <w:r w:rsidRPr="0057681A">
        <w:tab/>
      </w:r>
      <w:r w:rsidRPr="0057681A">
        <w:rPr>
          <w:i/>
          <w:iCs/>
        </w:rPr>
        <w:t xml:space="preserve">предлагает </w:t>
      </w:r>
      <w:r w:rsidRPr="0057681A">
        <w:t>Глобальному экологическому фонду в рамках его мандата рассмотреть, в соответствии с указаниями Конференции Сторон, возможность оказания поддержки правомочным Сторонам в сборе необходимых данных и содействия устойчивому представлению информации мониторинга на местном, субрегиональном, региональном и глобальном уровнях в целях содействия проведению оценки эффективности в соответствии с руководящими указаниями Фонда.</w:t>
      </w:r>
    </w:p>
    <w:p w14:paraId="1600DFE0" w14:textId="77777777" w:rsidR="0057681A" w:rsidRPr="0057681A" w:rsidRDefault="0057681A" w:rsidP="0057681A">
      <w:pPr>
        <w:tabs>
          <w:tab w:val="clear" w:pos="1247"/>
          <w:tab w:val="clear" w:pos="1814"/>
          <w:tab w:val="clear" w:pos="2381"/>
          <w:tab w:val="clear" w:pos="2948"/>
          <w:tab w:val="clear" w:pos="3515"/>
        </w:tabs>
        <w:spacing w:after="120"/>
        <w:ind w:left="1247"/>
        <w:rPr>
          <w:b/>
          <w:bCs/>
          <w:sz w:val="24"/>
          <w:szCs w:val="24"/>
        </w:rPr>
      </w:pPr>
      <w:r w:rsidRPr="0057681A">
        <w:rPr>
          <w:b/>
          <w:bCs/>
          <w:sz w:val="24"/>
          <w:szCs w:val="24"/>
        </w:rPr>
        <w:t>Приложение I к решению MК-2/10</w:t>
      </w:r>
    </w:p>
    <w:p w14:paraId="3A9945E7" w14:textId="77777777" w:rsidR="0057681A" w:rsidRPr="0057681A" w:rsidRDefault="0057681A" w:rsidP="0057681A">
      <w:pPr>
        <w:tabs>
          <w:tab w:val="clear" w:pos="1247"/>
          <w:tab w:val="clear" w:pos="1814"/>
          <w:tab w:val="clear" w:pos="2381"/>
          <w:tab w:val="clear" w:pos="2948"/>
          <w:tab w:val="clear" w:pos="3515"/>
        </w:tabs>
        <w:spacing w:after="120"/>
        <w:ind w:left="1247"/>
        <w:rPr>
          <w:b/>
          <w:bCs/>
          <w:sz w:val="24"/>
          <w:szCs w:val="24"/>
        </w:rPr>
      </w:pPr>
      <w:r w:rsidRPr="0057681A">
        <w:rPr>
          <w:b/>
          <w:bCs/>
          <w:sz w:val="24"/>
          <w:szCs w:val="24"/>
        </w:rPr>
        <w:t>Новая редакция Положения о специальной технической группе экспертов по оценке эффективности</w:t>
      </w:r>
      <w:r w:rsidRPr="0057681A">
        <w:rPr>
          <w:b/>
          <w:bCs/>
          <w:sz w:val="24"/>
          <w:szCs w:val="24"/>
          <w:vertAlign w:val="superscript"/>
        </w:rPr>
        <w:footnoteReference w:id="2"/>
      </w:r>
    </w:p>
    <w:p w14:paraId="251B8B3B" w14:textId="77777777" w:rsidR="0057681A" w:rsidRPr="0057681A" w:rsidRDefault="0057681A" w:rsidP="0057681A">
      <w:pPr>
        <w:tabs>
          <w:tab w:val="clear" w:pos="1247"/>
          <w:tab w:val="clear" w:pos="1814"/>
          <w:tab w:val="clear" w:pos="2381"/>
          <w:tab w:val="clear" w:pos="2948"/>
          <w:tab w:val="clear" w:pos="3515"/>
          <w:tab w:val="right" w:pos="851"/>
        </w:tabs>
        <w:spacing w:after="120"/>
        <w:ind w:left="1247" w:right="284" w:hanging="1247"/>
        <w:rPr>
          <w:b/>
          <w:bCs/>
          <w:sz w:val="28"/>
          <w:szCs w:val="28"/>
        </w:rPr>
      </w:pPr>
      <w:r w:rsidRPr="0057681A">
        <w:rPr>
          <w:b/>
          <w:bCs/>
          <w:sz w:val="28"/>
          <w:szCs w:val="28"/>
        </w:rPr>
        <w:tab/>
        <w:t>I.</w:t>
      </w:r>
      <w:r w:rsidRPr="0057681A">
        <w:rPr>
          <w:b/>
          <w:bCs/>
          <w:sz w:val="28"/>
          <w:szCs w:val="28"/>
        </w:rPr>
        <w:tab/>
        <w:t>Новая редакция мандата</w:t>
      </w:r>
      <w:bookmarkStart w:id="6" w:name="_Toc7079451"/>
      <w:bookmarkEnd w:id="6"/>
    </w:p>
    <w:p w14:paraId="2CB927E2" w14:textId="77777777" w:rsidR="0057681A" w:rsidRPr="0057681A" w:rsidRDefault="0057681A" w:rsidP="0057681A">
      <w:pPr>
        <w:tabs>
          <w:tab w:val="clear" w:pos="1247"/>
          <w:tab w:val="clear" w:pos="1814"/>
          <w:tab w:val="clear" w:pos="2381"/>
          <w:tab w:val="clear" w:pos="2948"/>
          <w:tab w:val="clear" w:pos="3515"/>
        </w:tabs>
        <w:spacing w:after="120"/>
        <w:ind w:left="1247"/>
      </w:pPr>
      <w:r w:rsidRPr="0057681A">
        <w:t>1.</w:t>
      </w:r>
      <w:r w:rsidRPr="0057681A">
        <w:tab/>
        <w:t>Специальная техническая группа экспертов продолжает работу над документом UNEP/MC/COP.2/INF/8 в соответствии со следующим планом:</w:t>
      </w:r>
    </w:p>
    <w:p w14:paraId="563BCD96"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a</w:t>
      </w:r>
      <w:r w:rsidRPr="0057681A">
        <w:t>)</w:t>
      </w:r>
      <w:r w:rsidRPr="0057681A">
        <w:tab/>
        <w:t>Резюме</w:t>
      </w:r>
    </w:p>
    <w:p w14:paraId="4F4ACE14"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b</w:t>
      </w:r>
      <w:r w:rsidRPr="0057681A">
        <w:t>)</w:t>
      </w:r>
      <w:r w:rsidRPr="0057681A">
        <w:tab/>
        <w:t>Введение</w:t>
      </w:r>
    </w:p>
    <w:p w14:paraId="03D0C643"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c</w:t>
      </w:r>
      <w:r w:rsidRPr="0057681A">
        <w:t>)</w:t>
      </w:r>
      <w:r w:rsidRPr="0057681A">
        <w:tab/>
        <w:t>Описание системы оценки эффективности</w:t>
      </w:r>
    </w:p>
    <w:p w14:paraId="7B52A884"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d</w:t>
      </w:r>
      <w:r w:rsidRPr="0057681A">
        <w:t>)</w:t>
      </w:r>
      <w:r w:rsidRPr="0057681A">
        <w:tab/>
        <w:t>Предлагаемые методология и график проведения оценки</w:t>
      </w:r>
    </w:p>
    <w:p w14:paraId="2D17C84A"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e</w:t>
      </w:r>
      <w:r w:rsidRPr="0057681A">
        <w:t>)</w:t>
      </w:r>
      <w:r w:rsidRPr="0057681A">
        <w:tab/>
        <w:t xml:space="preserve">Вопросы для дальнейшего рассмотрения, если таковые имеются </w:t>
      </w:r>
    </w:p>
    <w:p w14:paraId="046B8DF0"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f</w:t>
      </w:r>
      <w:r w:rsidRPr="0057681A">
        <w:t>)</w:t>
      </w:r>
      <w:r w:rsidRPr="0057681A">
        <w:tab/>
        <w:t>Приложение I: Техническая информация о мониторинге, если таковая имеется</w:t>
      </w:r>
    </w:p>
    <w:p w14:paraId="2D30D581"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g</w:t>
      </w:r>
      <w:r w:rsidRPr="0057681A">
        <w:t>)</w:t>
      </w:r>
      <w:r w:rsidRPr="0057681A">
        <w:tab/>
        <w:t>Приложение II: Проект положения о Комитете по оценке эффективности</w:t>
      </w:r>
    </w:p>
    <w:p w14:paraId="457B7ADF"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h</w:t>
      </w:r>
      <w:r w:rsidRPr="0057681A">
        <w:t>)</w:t>
      </w:r>
      <w:r w:rsidRPr="0057681A">
        <w:tab/>
        <w:t>Приложение III: Проект положения о механизмах глобального мониторинга.</w:t>
      </w:r>
    </w:p>
    <w:p w14:paraId="2D25A204" w14:textId="77777777" w:rsidR="0057681A" w:rsidRPr="0057681A" w:rsidRDefault="0057681A" w:rsidP="0057681A">
      <w:pPr>
        <w:tabs>
          <w:tab w:val="clear" w:pos="1247"/>
          <w:tab w:val="clear" w:pos="1814"/>
          <w:tab w:val="clear" w:pos="2381"/>
          <w:tab w:val="clear" w:pos="2948"/>
          <w:tab w:val="clear" w:pos="3515"/>
        </w:tabs>
        <w:spacing w:after="120"/>
        <w:ind w:left="1247"/>
      </w:pPr>
      <w:r w:rsidRPr="0057681A">
        <w:t>1.</w:t>
      </w:r>
      <w:r w:rsidRPr="0057681A">
        <w:tab/>
        <w:t>В отношении системы оценки эффективности специальная техническая группа экспертов:</w:t>
      </w:r>
    </w:p>
    <w:p w14:paraId="17C5479A"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a</w:t>
      </w:r>
      <w:r w:rsidRPr="0057681A">
        <w:t>)</w:t>
      </w:r>
      <w:r w:rsidRPr="0057681A">
        <w:tab/>
        <w:t xml:space="preserve">исходя из цели </w:t>
      </w:r>
      <w:proofErr w:type="spellStart"/>
      <w:r w:rsidRPr="0057681A">
        <w:t>Минаматской</w:t>
      </w:r>
      <w:proofErr w:type="spellEnd"/>
      <w:r w:rsidRPr="0057681A">
        <w:t xml:space="preserve"> конвенции, проводит анализ и оценку подробных постатейных показателей процесса и результатов, изложенных в таблице 4 документа UNEP/MC/COP.2/INF/8; подробно рассматривает источники информации и базовые уровни для этих показателей с учетом вопросов экономической эффективности, практичности, осуществимости и устойчивости; и на этой основе представляет подробные обоснования рекомендованных показателей;</w:t>
      </w:r>
    </w:p>
    <w:p w14:paraId="065891C0"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b</w:t>
      </w:r>
      <w:r w:rsidRPr="0057681A">
        <w:t>)</w:t>
      </w:r>
      <w:r w:rsidRPr="0057681A">
        <w:tab/>
        <w:t>определяет, для каких рекомендованных показателей требуются данные мониторинга, в частности в отношении мер контроля и целей, изложенных в статьях Конвенции;</w:t>
      </w:r>
    </w:p>
    <w:p w14:paraId="0EDC2C13"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c</w:t>
      </w:r>
      <w:r w:rsidRPr="0057681A">
        <w:t>)</w:t>
      </w:r>
      <w:r w:rsidRPr="0057681A">
        <w:tab/>
        <w:t>разрабатывает методологию интеграции рекомендованных показателей с целью получения комплексной картины общей эффективности Конвенции (например, путем применения укрупненных или многоаспектных показателей);</w:t>
      </w:r>
    </w:p>
    <w:p w14:paraId="2F9386A8"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d</w:t>
      </w:r>
      <w:r w:rsidRPr="0057681A">
        <w:t>)</w:t>
      </w:r>
      <w:r w:rsidRPr="0057681A">
        <w:tab/>
        <w:t>вносит изменения в рекомендованный проект положения о комитете по оценке эффективности и, при необходимости, в график проведения первой оценки эффективности на основе результатов процесса, описанного в настоящем пункте.</w:t>
      </w:r>
    </w:p>
    <w:p w14:paraId="49A1A5E2" w14:textId="77777777" w:rsidR="0057681A" w:rsidRPr="0057681A" w:rsidRDefault="0057681A" w:rsidP="0057681A">
      <w:pPr>
        <w:tabs>
          <w:tab w:val="clear" w:pos="1247"/>
          <w:tab w:val="clear" w:pos="1814"/>
          <w:tab w:val="clear" w:pos="2381"/>
          <w:tab w:val="clear" w:pos="2948"/>
          <w:tab w:val="clear" w:pos="3515"/>
        </w:tabs>
        <w:spacing w:after="120"/>
        <w:ind w:left="1247"/>
      </w:pPr>
      <w:r w:rsidRPr="0057681A">
        <w:t>2.</w:t>
      </w:r>
      <w:r w:rsidRPr="0057681A">
        <w:tab/>
        <w:t>В сфере мониторинга специальная техническая группа экспертов:</w:t>
      </w:r>
    </w:p>
    <w:p w14:paraId="5965BA8C"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a</w:t>
      </w:r>
      <w:r w:rsidRPr="0057681A">
        <w:t>)</w:t>
      </w:r>
      <w:r w:rsidRPr="0057681A">
        <w:tab/>
        <w:t xml:space="preserve">определяет: </w:t>
      </w:r>
    </w:p>
    <w:p w14:paraId="2EB278D5" w14:textId="77777777" w:rsidR="0057681A" w:rsidRPr="0057681A" w:rsidRDefault="0057681A" w:rsidP="0057681A">
      <w:pPr>
        <w:tabs>
          <w:tab w:val="clear" w:pos="1247"/>
          <w:tab w:val="clear" w:pos="1814"/>
          <w:tab w:val="clear" w:pos="2381"/>
          <w:tab w:val="clear" w:pos="2948"/>
          <w:tab w:val="clear" w:pos="3515"/>
        </w:tabs>
        <w:spacing w:after="120"/>
        <w:ind w:left="3119" w:hanging="624"/>
      </w:pPr>
      <w:proofErr w:type="spellStart"/>
      <w:r w:rsidRPr="0057681A">
        <w:rPr>
          <w:lang w:val="en-GB"/>
        </w:rPr>
        <w:t>i</w:t>
      </w:r>
      <w:proofErr w:type="spellEnd"/>
      <w:r w:rsidRPr="0057681A">
        <w:t>)</w:t>
      </w:r>
      <w:r w:rsidRPr="0057681A">
        <w:tab/>
        <w:t>какие категории имеющихся</w:t>
      </w:r>
      <w:r w:rsidRPr="0057681A">
        <w:rPr>
          <w:vertAlign w:val="superscript"/>
        </w:rPr>
        <w:footnoteReference w:id="3"/>
      </w:r>
      <w:r w:rsidRPr="0057681A">
        <w:t xml:space="preserve"> сопоставимых</w:t>
      </w:r>
      <w:r w:rsidRPr="0057681A">
        <w:rPr>
          <w:vertAlign w:val="superscript"/>
        </w:rPr>
        <w:footnoteReference w:id="4"/>
      </w:r>
      <w:r w:rsidRPr="0057681A">
        <w:t xml:space="preserve"> данных мониторинга являются наиболее эффективными для получения сведений о глобальных </w:t>
      </w:r>
      <w:r w:rsidRPr="0057681A">
        <w:lastRenderedPageBreak/>
        <w:t>тенденциях (в отличие от данных, которые могут использоваться для обоснования мер политики на местном, национальном и/или региональном уровнях);</w:t>
      </w:r>
    </w:p>
    <w:p w14:paraId="0FD25368" w14:textId="77777777" w:rsidR="0057681A" w:rsidRPr="0057681A" w:rsidRDefault="0057681A" w:rsidP="0057681A">
      <w:pPr>
        <w:tabs>
          <w:tab w:val="clear" w:pos="1247"/>
          <w:tab w:val="clear" w:pos="1814"/>
          <w:tab w:val="clear" w:pos="2381"/>
          <w:tab w:val="clear" w:pos="2948"/>
          <w:tab w:val="clear" w:pos="3515"/>
        </w:tabs>
        <w:spacing w:after="120"/>
        <w:ind w:left="3119" w:hanging="624"/>
      </w:pPr>
      <w:r w:rsidRPr="0057681A">
        <w:rPr>
          <w:lang w:val="en-GB"/>
        </w:rPr>
        <w:t>ii</w:t>
      </w:r>
      <w:r w:rsidRPr="0057681A">
        <w:t>)</w:t>
      </w:r>
      <w:r w:rsidRPr="0057681A">
        <w:tab/>
        <w:t>какие данные мониторинга можно использовать для оценки воздействия на уровни содержания ртути и тенденции их изменения в воздухе, воде, биоте и организме человека;</w:t>
      </w:r>
    </w:p>
    <w:p w14:paraId="12D66FF6" w14:textId="77777777" w:rsidR="0057681A" w:rsidRPr="0057681A" w:rsidRDefault="0057681A" w:rsidP="0057681A">
      <w:pPr>
        <w:tabs>
          <w:tab w:val="clear" w:pos="1247"/>
          <w:tab w:val="clear" w:pos="1814"/>
          <w:tab w:val="clear" w:pos="2381"/>
          <w:tab w:val="clear" w:pos="2948"/>
          <w:tab w:val="clear" w:pos="3515"/>
        </w:tabs>
        <w:spacing w:after="120"/>
        <w:ind w:left="3119" w:hanging="624"/>
      </w:pPr>
      <w:r w:rsidRPr="0057681A">
        <w:rPr>
          <w:lang w:val="en-GB"/>
        </w:rPr>
        <w:t>iii</w:t>
      </w:r>
      <w:r w:rsidRPr="0057681A">
        <w:t>)</w:t>
      </w:r>
      <w:r w:rsidRPr="0057681A">
        <w:tab/>
        <w:t>потенциал и недостатки выявленных данных с учетом иных видов воздействия, помимо антропогенных выбросов и высвобождений, на эти пространственные и временные тенденции;</w:t>
      </w:r>
    </w:p>
    <w:p w14:paraId="4791E62A"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b</w:t>
      </w:r>
      <w:r w:rsidRPr="0057681A">
        <w:t>)</w:t>
      </w:r>
      <w:r w:rsidRPr="0057681A">
        <w:tab/>
        <w:t>оценивает, в какой степени проанализированная информация отвечает потребностям мониторинга, изложенным в пункте 2 статьи 22 Конвенции, и выявляет основные пробелы, которые могут повлиять на пригодность имеющихся данных, а также излагает варианты или рекомендации по повышению сопоставимости и полноты информации;</w:t>
      </w:r>
    </w:p>
    <w:p w14:paraId="4337C322"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c</w:t>
      </w:r>
      <w:r w:rsidRPr="0057681A">
        <w:t>)</w:t>
      </w:r>
      <w:r w:rsidRPr="0057681A">
        <w:tab/>
        <w:t>в целях восполнения пробелов в данных мониторинга, имеющих глобальное значение, применительно к вариантам и рекомендациям, упомянутым в предыдущем подпункте, сравнивает их экономическую эффективность, практичность, осуществимость и устойчивость, глобальный охват и региональный потенциал для выявления возможностей дальнейшего совершенствования мониторинга;</w:t>
      </w:r>
    </w:p>
    <w:p w14:paraId="4D45BC14"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d</w:t>
      </w:r>
      <w:r w:rsidRPr="0057681A">
        <w:t>)</w:t>
      </w:r>
      <w:r w:rsidRPr="0057681A">
        <w:tab/>
        <w:t>выявляет имеющиеся возможности в области моделирования для оценки изменений глобальных уровней ртути в различных средах и между ними;</w:t>
      </w:r>
    </w:p>
    <w:p w14:paraId="074D251C"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e</w:t>
      </w:r>
      <w:r w:rsidRPr="0057681A">
        <w:t>)</w:t>
      </w:r>
      <w:r w:rsidRPr="0057681A">
        <w:tab/>
        <w:t>рассматривает варианты и на основе этих вариантов определяет источники данных, которые могут использоваться для установления исходного уровня для данных мониторинга;</w:t>
      </w:r>
    </w:p>
    <w:p w14:paraId="35954E7B"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f</w:t>
      </w:r>
      <w:r w:rsidRPr="0057681A">
        <w:t>)</w:t>
      </w:r>
      <w:r w:rsidRPr="0057681A">
        <w:tab/>
        <w:t>предоставляет другие технические материалы и необходимую информацию для решения любых дополнительных вопросов мониторинга, которые могут быть выявлены в ходе разработки системы оценки;</w:t>
      </w:r>
    </w:p>
    <w:p w14:paraId="3BF09E13" w14:textId="77777777" w:rsidR="0057681A" w:rsidRPr="0057681A" w:rsidRDefault="0057681A" w:rsidP="0057681A">
      <w:pPr>
        <w:tabs>
          <w:tab w:val="clear" w:pos="1247"/>
          <w:tab w:val="clear" w:pos="1814"/>
          <w:tab w:val="clear" w:pos="2381"/>
          <w:tab w:val="clear" w:pos="2948"/>
          <w:tab w:val="clear" w:pos="3515"/>
        </w:tabs>
        <w:spacing w:after="240"/>
        <w:ind w:left="1247" w:firstLine="624"/>
      </w:pPr>
      <w:r w:rsidRPr="0057681A">
        <w:rPr>
          <w:lang w:val="en-GB"/>
        </w:rPr>
        <w:t>g</w:t>
      </w:r>
      <w:r w:rsidRPr="0057681A">
        <w:t>)</w:t>
      </w:r>
      <w:r w:rsidRPr="0057681A">
        <w:tab/>
        <w:t>разрабатывает проект положения о механизмах глобального мониторинга, включая разработку руководства по мониторингу.</w:t>
      </w:r>
    </w:p>
    <w:p w14:paraId="18ED0D21" w14:textId="77777777" w:rsidR="0057681A" w:rsidRPr="0057681A" w:rsidRDefault="0057681A" w:rsidP="0057681A">
      <w:pPr>
        <w:tabs>
          <w:tab w:val="clear" w:pos="1247"/>
          <w:tab w:val="clear" w:pos="1814"/>
          <w:tab w:val="clear" w:pos="2381"/>
          <w:tab w:val="clear" w:pos="2948"/>
          <w:tab w:val="right" w:pos="851"/>
        </w:tabs>
        <w:spacing w:after="120"/>
        <w:ind w:left="1247" w:right="284" w:hanging="1247"/>
        <w:rPr>
          <w:b/>
          <w:bCs/>
          <w:sz w:val="28"/>
          <w:szCs w:val="28"/>
        </w:rPr>
      </w:pPr>
      <w:r w:rsidRPr="0057681A">
        <w:rPr>
          <w:b/>
          <w:bCs/>
          <w:sz w:val="28"/>
          <w:szCs w:val="28"/>
        </w:rPr>
        <w:tab/>
        <w:t>II.</w:t>
      </w:r>
      <w:r w:rsidRPr="0057681A">
        <w:rPr>
          <w:b/>
          <w:bCs/>
          <w:sz w:val="28"/>
          <w:szCs w:val="28"/>
        </w:rPr>
        <w:tab/>
        <w:t>Изменения в членском составе</w:t>
      </w:r>
      <w:bookmarkStart w:id="7" w:name="_Toc7079452"/>
      <w:bookmarkEnd w:id="7"/>
    </w:p>
    <w:p w14:paraId="591D76BD" w14:textId="77777777" w:rsidR="0057681A" w:rsidRPr="0057681A" w:rsidRDefault="0057681A" w:rsidP="0057681A">
      <w:pPr>
        <w:tabs>
          <w:tab w:val="clear" w:pos="1247"/>
          <w:tab w:val="clear" w:pos="1814"/>
          <w:tab w:val="clear" w:pos="2381"/>
          <w:tab w:val="clear" w:pos="2948"/>
          <w:tab w:val="clear" w:pos="3515"/>
        </w:tabs>
        <w:spacing w:after="120"/>
        <w:ind w:left="1247"/>
      </w:pPr>
      <w:r w:rsidRPr="0057681A">
        <w:t>4.</w:t>
      </w:r>
      <w:r w:rsidRPr="0057681A">
        <w:tab/>
        <w:t>С учетом стремления Конференции Сторон расширить возможности специальной технической группы экспертов в области оценки эффективности члены группы могут продолжать выполнять свои функции, если иное решение не будет принято выдвинувшими их регионами.</w:t>
      </w:r>
    </w:p>
    <w:p w14:paraId="5A612300" w14:textId="77777777" w:rsidR="0057681A" w:rsidRPr="0057681A" w:rsidRDefault="0057681A" w:rsidP="0057681A">
      <w:pPr>
        <w:tabs>
          <w:tab w:val="clear" w:pos="1247"/>
          <w:tab w:val="clear" w:pos="1814"/>
          <w:tab w:val="clear" w:pos="2381"/>
          <w:tab w:val="clear" w:pos="2948"/>
          <w:tab w:val="clear" w:pos="3515"/>
        </w:tabs>
        <w:spacing w:after="240"/>
        <w:ind w:left="1247"/>
      </w:pPr>
      <w:r w:rsidRPr="0057681A">
        <w:t>5.</w:t>
      </w:r>
      <w:r w:rsidRPr="0057681A">
        <w:tab/>
        <w:t>Группа пригласит к участию в качестве наблюдателей до 10 экспертов из числа представителей гражданского общества, организаций коренных народов, межправительственных организаций, промышленных кругов и Глобального партнерства по ртути Программы Организации Объединенных Наций по окружающей среде. Участие наблюдателей будет сбалансировано между вышеупомянутыми группами, при этом предпочтение будет отдаваться соответствующим экспертным знаниям в области оценки эффективности.</w:t>
      </w:r>
    </w:p>
    <w:p w14:paraId="5B8897E2" w14:textId="77777777" w:rsidR="0057681A" w:rsidRPr="0057681A" w:rsidRDefault="0057681A" w:rsidP="0057681A">
      <w:pPr>
        <w:tabs>
          <w:tab w:val="clear" w:pos="1247"/>
          <w:tab w:val="clear" w:pos="1814"/>
          <w:tab w:val="clear" w:pos="2381"/>
          <w:tab w:val="clear" w:pos="2948"/>
          <w:tab w:val="clear" w:pos="3515"/>
          <w:tab w:val="right" w:pos="851"/>
        </w:tabs>
        <w:spacing w:after="120"/>
        <w:ind w:left="1247" w:right="284" w:hanging="1247"/>
        <w:rPr>
          <w:b/>
          <w:bCs/>
          <w:sz w:val="28"/>
          <w:szCs w:val="28"/>
        </w:rPr>
      </w:pPr>
      <w:r w:rsidRPr="0057681A">
        <w:rPr>
          <w:b/>
          <w:bCs/>
          <w:sz w:val="28"/>
          <w:szCs w:val="28"/>
        </w:rPr>
        <w:tab/>
        <w:t>III.</w:t>
      </w:r>
      <w:r w:rsidRPr="0057681A">
        <w:rPr>
          <w:b/>
          <w:bCs/>
          <w:sz w:val="28"/>
          <w:szCs w:val="28"/>
        </w:rPr>
        <w:tab/>
        <w:t>Изменения в квалификационных требованиях</w:t>
      </w:r>
      <w:bookmarkStart w:id="8" w:name="_Toc7079453"/>
      <w:bookmarkEnd w:id="8"/>
    </w:p>
    <w:p w14:paraId="22378D9F" w14:textId="77777777" w:rsidR="0057681A" w:rsidRPr="0057681A" w:rsidRDefault="0057681A" w:rsidP="0057681A">
      <w:pPr>
        <w:tabs>
          <w:tab w:val="clear" w:pos="1247"/>
          <w:tab w:val="clear" w:pos="1814"/>
          <w:tab w:val="clear" w:pos="2381"/>
          <w:tab w:val="clear" w:pos="2948"/>
          <w:tab w:val="clear" w:pos="3515"/>
        </w:tabs>
        <w:spacing w:after="120"/>
        <w:ind w:left="1247"/>
      </w:pPr>
      <w:r w:rsidRPr="0057681A">
        <w:t>6.</w:t>
      </w:r>
      <w:r w:rsidRPr="0057681A">
        <w:tab/>
        <w:t xml:space="preserve">Следующие дополнительные квалификационные требования включаются в: </w:t>
      </w:r>
    </w:p>
    <w:p w14:paraId="4840E268"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a</w:t>
      </w:r>
      <w:r w:rsidRPr="0057681A">
        <w:t>)</w:t>
      </w:r>
      <w:r w:rsidRPr="0057681A">
        <w:tab/>
        <w:t>приложение II к решению MК-1/9, раздел III c): экспертные знания в области систем оценки, определенных Группой Организации Объединенных Наций по оценке, или в области контроля и оценки управления проектами, определенных Комитетом содействия развитию Организации экономического сотрудничества и развития;</w:t>
      </w:r>
    </w:p>
    <w:p w14:paraId="7C3A7ADB" w14:textId="77777777" w:rsidR="0057681A" w:rsidRPr="0057681A" w:rsidRDefault="0057681A" w:rsidP="0057681A">
      <w:pPr>
        <w:tabs>
          <w:tab w:val="clear" w:pos="1247"/>
          <w:tab w:val="clear" w:pos="1814"/>
          <w:tab w:val="clear" w:pos="2381"/>
          <w:tab w:val="clear" w:pos="2948"/>
          <w:tab w:val="clear" w:pos="3515"/>
        </w:tabs>
        <w:spacing w:after="120"/>
        <w:ind w:left="1247" w:firstLine="624"/>
      </w:pPr>
      <w:r w:rsidRPr="0057681A">
        <w:rPr>
          <w:lang w:val="en-GB"/>
        </w:rPr>
        <w:t>b</w:t>
      </w:r>
      <w:r w:rsidRPr="0057681A">
        <w:t>)</w:t>
      </w:r>
      <w:r w:rsidRPr="0057681A">
        <w:tab/>
        <w:t>приложение II к решению MК-1/9, раздел III a): опыт, имеющий отношение к экосистемным процессам, или экспертные знания в области сценарного долгосрочного прогнозирования состояния окружающей среды и многодисциплинарной оценки воздействия.</w:t>
      </w:r>
    </w:p>
    <w:p w14:paraId="6A8823E9" w14:textId="77777777" w:rsidR="0057681A" w:rsidRPr="0057681A" w:rsidRDefault="0057681A" w:rsidP="0057681A">
      <w:pPr>
        <w:tabs>
          <w:tab w:val="clear" w:pos="1247"/>
          <w:tab w:val="clear" w:pos="1814"/>
          <w:tab w:val="clear" w:pos="2381"/>
          <w:tab w:val="clear" w:pos="2948"/>
          <w:tab w:val="clear" w:pos="3515"/>
        </w:tabs>
        <w:spacing w:after="120"/>
        <w:ind w:left="1247"/>
        <w:rPr>
          <w:b/>
          <w:bCs/>
          <w:sz w:val="24"/>
          <w:szCs w:val="24"/>
        </w:rPr>
      </w:pPr>
      <w:r w:rsidRPr="0057681A">
        <w:rPr>
          <w:b/>
          <w:bCs/>
          <w:sz w:val="24"/>
          <w:szCs w:val="24"/>
        </w:rPr>
        <w:lastRenderedPageBreak/>
        <w:tab/>
        <w:t>Приложение II к решению MК-2/10</w:t>
      </w:r>
    </w:p>
    <w:p w14:paraId="03D68155" w14:textId="77777777" w:rsidR="0057681A" w:rsidRPr="0057681A" w:rsidRDefault="0057681A" w:rsidP="0057681A">
      <w:pPr>
        <w:tabs>
          <w:tab w:val="clear" w:pos="1247"/>
          <w:tab w:val="clear" w:pos="1814"/>
          <w:tab w:val="clear" w:pos="2381"/>
          <w:tab w:val="clear" w:pos="2948"/>
          <w:tab w:val="clear" w:pos="3515"/>
        </w:tabs>
        <w:spacing w:after="120"/>
        <w:ind w:left="1247"/>
        <w:rPr>
          <w:b/>
          <w:bCs/>
          <w:sz w:val="24"/>
          <w:szCs w:val="24"/>
        </w:rPr>
      </w:pPr>
      <w:r w:rsidRPr="0057681A">
        <w:rPr>
          <w:b/>
          <w:bCs/>
          <w:sz w:val="24"/>
          <w:szCs w:val="24"/>
        </w:rPr>
        <w:tab/>
        <w:t>Проект плана деятельности по подготовке доклада специальной технической группы экспертов по оценке эффективности для третьего совещания Конференции Сторон</w:t>
      </w:r>
    </w:p>
    <w:tbl>
      <w:tblPr>
        <w:tblW w:w="8335" w:type="dxa"/>
        <w:jc w:val="right"/>
        <w:shd w:val="clear" w:color="auto" w:fill="CED7E7"/>
        <w:tblLayout w:type="fixed"/>
        <w:tblCellMar>
          <w:left w:w="57" w:type="dxa"/>
          <w:right w:w="57" w:type="dxa"/>
        </w:tblCellMar>
        <w:tblLook w:val="04A0" w:firstRow="1" w:lastRow="0" w:firstColumn="1" w:lastColumn="0" w:noHBand="0" w:noVBand="1"/>
      </w:tblPr>
      <w:tblGrid>
        <w:gridCol w:w="6434"/>
        <w:gridCol w:w="1901"/>
      </w:tblGrid>
      <w:tr w:rsidR="0057681A" w:rsidRPr="0057681A" w14:paraId="124AF4D7" w14:textId="77777777" w:rsidTr="0074340B">
        <w:trPr>
          <w:trHeight w:val="227"/>
          <w:tblHeader/>
          <w:jc w:val="right"/>
        </w:trPr>
        <w:tc>
          <w:tcPr>
            <w:tcW w:w="6237" w:type="dxa"/>
            <w:tcBorders>
              <w:top w:val="single" w:sz="4" w:space="0" w:color="auto"/>
              <w:bottom w:val="single" w:sz="12" w:space="0" w:color="auto"/>
            </w:tcBorders>
            <w:shd w:val="clear" w:color="auto" w:fill="auto"/>
            <w:tcMar>
              <w:top w:w="0" w:type="dxa"/>
              <w:left w:w="57" w:type="dxa"/>
              <w:bottom w:w="0" w:type="dxa"/>
              <w:right w:w="57" w:type="dxa"/>
            </w:tcMar>
          </w:tcPr>
          <w:p w14:paraId="572C4BA1" w14:textId="77777777" w:rsidR="0057681A" w:rsidRPr="0057681A" w:rsidRDefault="0057681A" w:rsidP="0057681A">
            <w:pPr>
              <w:tabs>
                <w:tab w:val="clear" w:pos="1247"/>
                <w:tab w:val="clear" w:pos="1814"/>
                <w:tab w:val="clear" w:pos="2381"/>
                <w:tab w:val="clear" w:pos="2948"/>
                <w:tab w:val="clear" w:pos="3515"/>
              </w:tabs>
              <w:spacing w:before="40" w:after="40"/>
              <w:rPr>
                <w:bCs/>
                <w:i/>
                <w:sz w:val="18"/>
                <w:szCs w:val="18"/>
              </w:rPr>
            </w:pPr>
            <w:r w:rsidRPr="0057681A">
              <w:rPr>
                <w:i/>
                <w:iCs/>
                <w:sz w:val="18"/>
                <w:szCs w:val="18"/>
              </w:rPr>
              <w:t>Мероприятие</w:t>
            </w:r>
          </w:p>
        </w:tc>
        <w:tc>
          <w:tcPr>
            <w:tcW w:w="1843" w:type="dxa"/>
            <w:tcBorders>
              <w:top w:val="single" w:sz="4" w:space="0" w:color="auto"/>
              <w:bottom w:val="single" w:sz="12" w:space="0" w:color="auto"/>
            </w:tcBorders>
            <w:shd w:val="clear" w:color="auto" w:fill="auto"/>
            <w:tcMar>
              <w:top w:w="0" w:type="dxa"/>
              <w:left w:w="57" w:type="dxa"/>
              <w:bottom w:w="0" w:type="dxa"/>
              <w:right w:w="57" w:type="dxa"/>
            </w:tcMar>
          </w:tcPr>
          <w:p w14:paraId="595E50B4" w14:textId="77777777" w:rsidR="0057681A" w:rsidRPr="0057681A" w:rsidRDefault="0057681A" w:rsidP="0057681A">
            <w:pPr>
              <w:tabs>
                <w:tab w:val="clear" w:pos="1247"/>
                <w:tab w:val="clear" w:pos="1814"/>
                <w:tab w:val="clear" w:pos="2381"/>
                <w:tab w:val="clear" w:pos="2948"/>
                <w:tab w:val="clear" w:pos="3515"/>
              </w:tabs>
              <w:spacing w:before="40" w:after="40"/>
              <w:rPr>
                <w:bCs/>
                <w:i/>
                <w:sz w:val="18"/>
                <w:szCs w:val="18"/>
              </w:rPr>
            </w:pPr>
            <w:r w:rsidRPr="0057681A">
              <w:rPr>
                <w:i/>
                <w:iCs/>
                <w:sz w:val="18"/>
                <w:szCs w:val="18"/>
              </w:rPr>
              <w:t>Сроки</w:t>
            </w:r>
          </w:p>
        </w:tc>
      </w:tr>
      <w:tr w:rsidR="0057681A" w:rsidRPr="0057681A" w14:paraId="47D86367" w14:textId="77777777" w:rsidTr="0074340B">
        <w:trPr>
          <w:trHeight w:val="227"/>
          <w:jc w:val="right"/>
        </w:trPr>
        <w:tc>
          <w:tcPr>
            <w:tcW w:w="6237" w:type="dxa"/>
            <w:tcBorders>
              <w:top w:val="single" w:sz="12" w:space="0" w:color="auto"/>
            </w:tcBorders>
            <w:shd w:val="clear" w:color="auto" w:fill="auto"/>
            <w:tcMar>
              <w:top w:w="0" w:type="dxa"/>
              <w:left w:w="57" w:type="dxa"/>
              <w:bottom w:w="0" w:type="dxa"/>
              <w:right w:w="57" w:type="dxa"/>
            </w:tcMar>
          </w:tcPr>
          <w:p w14:paraId="609FA1B6" w14:textId="77777777" w:rsidR="0057681A" w:rsidRPr="0057681A" w:rsidRDefault="0057681A" w:rsidP="0057681A">
            <w:pPr>
              <w:tabs>
                <w:tab w:val="clear" w:pos="1247"/>
                <w:tab w:val="clear" w:pos="1814"/>
                <w:tab w:val="clear" w:pos="2381"/>
                <w:tab w:val="clear" w:pos="2948"/>
                <w:tab w:val="clear" w:pos="3515"/>
              </w:tabs>
              <w:spacing w:before="40" w:after="120"/>
              <w:rPr>
                <w:sz w:val="18"/>
                <w:szCs w:val="18"/>
              </w:rPr>
            </w:pPr>
            <w:r w:rsidRPr="0057681A">
              <w:rPr>
                <w:sz w:val="18"/>
                <w:szCs w:val="18"/>
              </w:rPr>
              <w:t xml:space="preserve">Сформировать специальную техническую группу экспертов, исходя из изменений в членском составе и квалификационных требованиях, </w:t>
            </w:r>
            <w:r w:rsidRPr="0057681A">
              <w:rPr>
                <w:sz w:val="18"/>
                <w:szCs w:val="18"/>
              </w:rPr>
              <w:br/>
              <w:t>изложенных в приложении I к решению MК-2/10</w:t>
            </w:r>
          </w:p>
        </w:tc>
        <w:tc>
          <w:tcPr>
            <w:tcW w:w="1843" w:type="dxa"/>
            <w:tcBorders>
              <w:top w:val="single" w:sz="12" w:space="0" w:color="auto"/>
            </w:tcBorders>
            <w:shd w:val="clear" w:color="auto" w:fill="auto"/>
            <w:tcMar>
              <w:top w:w="0" w:type="dxa"/>
              <w:left w:w="57" w:type="dxa"/>
              <w:bottom w:w="0" w:type="dxa"/>
              <w:right w:w="57" w:type="dxa"/>
            </w:tcMar>
          </w:tcPr>
          <w:p w14:paraId="670BB980" w14:textId="77777777" w:rsidR="0057681A" w:rsidRPr="0057681A" w:rsidRDefault="0057681A" w:rsidP="0057681A">
            <w:pPr>
              <w:tabs>
                <w:tab w:val="clear" w:pos="1247"/>
                <w:tab w:val="clear" w:pos="1814"/>
                <w:tab w:val="clear" w:pos="2381"/>
                <w:tab w:val="clear" w:pos="2948"/>
                <w:tab w:val="clear" w:pos="3515"/>
              </w:tabs>
              <w:spacing w:before="40" w:after="120"/>
              <w:rPr>
                <w:sz w:val="18"/>
                <w:szCs w:val="18"/>
              </w:rPr>
            </w:pPr>
            <w:r w:rsidRPr="0057681A">
              <w:rPr>
                <w:sz w:val="18"/>
                <w:szCs w:val="18"/>
              </w:rPr>
              <w:t>Декабрь 2018 года</w:t>
            </w:r>
          </w:p>
        </w:tc>
      </w:tr>
      <w:tr w:rsidR="0057681A" w:rsidRPr="0057681A" w14:paraId="5B768D4E" w14:textId="77777777" w:rsidTr="0074340B">
        <w:trPr>
          <w:trHeight w:val="227"/>
          <w:jc w:val="right"/>
        </w:trPr>
        <w:tc>
          <w:tcPr>
            <w:tcW w:w="6237" w:type="dxa"/>
            <w:shd w:val="clear" w:color="auto" w:fill="auto"/>
            <w:tcMar>
              <w:top w:w="0" w:type="dxa"/>
              <w:left w:w="57" w:type="dxa"/>
              <w:bottom w:w="0" w:type="dxa"/>
              <w:right w:w="57" w:type="dxa"/>
            </w:tcMar>
          </w:tcPr>
          <w:p w14:paraId="536A4294" w14:textId="77777777" w:rsidR="0057681A" w:rsidRPr="0057681A" w:rsidRDefault="0057681A" w:rsidP="0057681A">
            <w:pPr>
              <w:tabs>
                <w:tab w:val="clear" w:pos="1247"/>
                <w:tab w:val="clear" w:pos="1814"/>
                <w:tab w:val="clear" w:pos="2381"/>
                <w:tab w:val="clear" w:pos="2948"/>
                <w:tab w:val="clear" w:pos="3515"/>
              </w:tabs>
              <w:spacing w:after="120"/>
              <w:rPr>
                <w:sz w:val="18"/>
                <w:szCs w:val="18"/>
              </w:rPr>
            </w:pPr>
            <w:r w:rsidRPr="0057681A">
              <w:rPr>
                <w:sz w:val="18"/>
                <w:szCs w:val="18"/>
              </w:rPr>
              <w:t>Поручить секретариату в сотрудничестве с сопредседателями специальной технической группы экспертов подготовить повестку дня совещания и справочные документы и провести подготовительные обсуждения</w:t>
            </w:r>
          </w:p>
        </w:tc>
        <w:tc>
          <w:tcPr>
            <w:tcW w:w="1843" w:type="dxa"/>
            <w:shd w:val="clear" w:color="auto" w:fill="auto"/>
            <w:tcMar>
              <w:top w:w="0" w:type="dxa"/>
              <w:left w:w="57" w:type="dxa"/>
              <w:bottom w:w="0" w:type="dxa"/>
              <w:right w:w="57" w:type="dxa"/>
            </w:tcMar>
          </w:tcPr>
          <w:p w14:paraId="2E8911A4" w14:textId="77777777" w:rsidR="0057681A" w:rsidRPr="0057681A" w:rsidDel="00FA16CC" w:rsidRDefault="0057681A" w:rsidP="0057681A">
            <w:pPr>
              <w:tabs>
                <w:tab w:val="clear" w:pos="1247"/>
                <w:tab w:val="clear" w:pos="1814"/>
                <w:tab w:val="clear" w:pos="2381"/>
                <w:tab w:val="clear" w:pos="2948"/>
                <w:tab w:val="clear" w:pos="3515"/>
              </w:tabs>
              <w:spacing w:after="120"/>
              <w:rPr>
                <w:sz w:val="18"/>
                <w:szCs w:val="18"/>
              </w:rPr>
            </w:pPr>
            <w:r w:rsidRPr="0057681A">
              <w:rPr>
                <w:sz w:val="18"/>
                <w:szCs w:val="18"/>
              </w:rPr>
              <w:t>Январь 2019 года</w:t>
            </w:r>
          </w:p>
        </w:tc>
      </w:tr>
      <w:tr w:rsidR="0057681A" w:rsidRPr="0057681A" w14:paraId="5128045B" w14:textId="77777777" w:rsidTr="0074340B">
        <w:trPr>
          <w:trHeight w:val="227"/>
          <w:jc w:val="right"/>
        </w:trPr>
        <w:tc>
          <w:tcPr>
            <w:tcW w:w="6237" w:type="dxa"/>
            <w:shd w:val="clear" w:color="auto" w:fill="auto"/>
            <w:tcMar>
              <w:top w:w="0" w:type="dxa"/>
              <w:left w:w="57" w:type="dxa"/>
              <w:bottom w:w="0" w:type="dxa"/>
              <w:right w:w="57" w:type="dxa"/>
            </w:tcMar>
          </w:tcPr>
          <w:p w14:paraId="6E17C32C" w14:textId="77777777" w:rsidR="0057681A" w:rsidRPr="0057681A" w:rsidRDefault="0057681A" w:rsidP="0057681A">
            <w:pPr>
              <w:tabs>
                <w:tab w:val="clear" w:pos="1247"/>
                <w:tab w:val="clear" w:pos="1814"/>
                <w:tab w:val="clear" w:pos="2381"/>
                <w:tab w:val="clear" w:pos="2948"/>
                <w:tab w:val="clear" w:pos="3515"/>
              </w:tabs>
              <w:spacing w:after="120"/>
              <w:rPr>
                <w:sz w:val="18"/>
                <w:szCs w:val="18"/>
              </w:rPr>
            </w:pPr>
            <w:r w:rsidRPr="0057681A">
              <w:rPr>
                <w:sz w:val="18"/>
                <w:szCs w:val="18"/>
              </w:rPr>
              <w:t xml:space="preserve">Поручить специальной технической группе экспертов и наблюдателям представить информацию и замечания в соответствии с новой редакцией </w:t>
            </w:r>
            <w:r w:rsidRPr="0057681A">
              <w:rPr>
                <w:sz w:val="18"/>
                <w:szCs w:val="18"/>
              </w:rPr>
              <w:br/>
              <w:t>мандата для обобщения секретариатом</w:t>
            </w:r>
          </w:p>
        </w:tc>
        <w:tc>
          <w:tcPr>
            <w:tcW w:w="1843" w:type="dxa"/>
            <w:shd w:val="clear" w:color="auto" w:fill="auto"/>
            <w:tcMar>
              <w:top w:w="0" w:type="dxa"/>
              <w:left w:w="57" w:type="dxa"/>
              <w:bottom w:w="0" w:type="dxa"/>
              <w:right w:w="57" w:type="dxa"/>
            </w:tcMar>
          </w:tcPr>
          <w:p w14:paraId="20A76706" w14:textId="77777777" w:rsidR="0057681A" w:rsidRPr="0057681A" w:rsidRDefault="0057681A" w:rsidP="0057681A">
            <w:pPr>
              <w:tabs>
                <w:tab w:val="clear" w:pos="1247"/>
                <w:tab w:val="clear" w:pos="1814"/>
                <w:tab w:val="clear" w:pos="2381"/>
                <w:tab w:val="clear" w:pos="2948"/>
                <w:tab w:val="clear" w:pos="3515"/>
              </w:tabs>
              <w:spacing w:after="120"/>
              <w:rPr>
                <w:sz w:val="18"/>
                <w:szCs w:val="18"/>
              </w:rPr>
            </w:pPr>
            <w:r w:rsidRPr="0057681A">
              <w:rPr>
                <w:sz w:val="18"/>
                <w:szCs w:val="18"/>
              </w:rPr>
              <w:t>К марту 2019 года</w:t>
            </w:r>
          </w:p>
        </w:tc>
      </w:tr>
      <w:tr w:rsidR="0057681A" w:rsidRPr="0057681A" w14:paraId="58DF5212" w14:textId="77777777" w:rsidTr="0074340B">
        <w:trPr>
          <w:trHeight w:val="227"/>
          <w:jc w:val="right"/>
        </w:trPr>
        <w:tc>
          <w:tcPr>
            <w:tcW w:w="6237" w:type="dxa"/>
            <w:shd w:val="clear" w:color="auto" w:fill="auto"/>
            <w:tcMar>
              <w:top w:w="0" w:type="dxa"/>
              <w:left w:w="57" w:type="dxa"/>
              <w:bottom w:w="0" w:type="dxa"/>
              <w:right w:w="57" w:type="dxa"/>
            </w:tcMar>
          </w:tcPr>
          <w:p w14:paraId="073BF339" w14:textId="77777777" w:rsidR="0057681A" w:rsidRPr="0057681A" w:rsidRDefault="0057681A" w:rsidP="0057681A">
            <w:pPr>
              <w:tabs>
                <w:tab w:val="clear" w:pos="1247"/>
                <w:tab w:val="clear" w:pos="1814"/>
                <w:tab w:val="clear" w:pos="2381"/>
                <w:tab w:val="clear" w:pos="2948"/>
                <w:tab w:val="clear" w:pos="3515"/>
              </w:tabs>
              <w:spacing w:after="120"/>
              <w:rPr>
                <w:sz w:val="18"/>
                <w:szCs w:val="18"/>
              </w:rPr>
            </w:pPr>
            <w:r w:rsidRPr="0057681A">
              <w:rPr>
                <w:sz w:val="18"/>
                <w:szCs w:val="18"/>
              </w:rPr>
              <w:t>Провести очное заседание специальной технической группы экспертов</w:t>
            </w:r>
          </w:p>
        </w:tc>
        <w:tc>
          <w:tcPr>
            <w:tcW w:w="1843" w:type="dxa"/>
            <w:shd w:val="clear" w:color="auto" w:fill="auto"/>
            <w:tcMar>
              <w:top w:w="0" w:type="dxa"/>
              <w:left w:w="57" w:type="dxa"/>
              <w:bottom w:w="0" w:type="dxa"/>
              <w:right w:w="57" w:type="dxa"/>
            </w:tcMar>
          </w:tcPr>
          <w:p w14:paraId="21EE9538" w14:textId="77777777" w:rsidR="0057681A" w:rsidRPr="0057681A" w:rsidRDefault="0057681A" w:rsidP="0057681A">
            <w:pPr>
              <w:tabs>
                <w:tab w:val="clear" w:pos="1247"/>
                <w:tab w:val="clear" w:pos="1814"/>
                <w:tab w:val="clear" w:pos="2381"/>
                <w:tab w:val="clear" w:pos="2948"/>
                <w:tab w:val="clear" w:pos="3515"/>
              </w:tabs>
              <w:spacing w:after="120"/>
              <w:rPr>
                <w:sz w:val="18"/>
                <w:szCs w:val="18"/>
              </w:rPr>
            </w:pPr>
            <w:r w:rsidRPr="0057681A">
              <w:rPr>
                <w:sz w:val="18"/>
                <w:szCs w:val="18"/>
              </w:rPr>
              <w:t>Апрель 2019 года</w:t>
            </w:r>
          </w:p>
        </w:tc>
      </w:tr>
      <w:tr w:rsidR="0057681A" w:rsidRPr="0057681A" w14:paraId="7B78FC08" w14:textId="77777777" w:rsidTr="0074340B">
        <w:trPr>
          <w:trHeight w:val="227"/>
          <w:jc w:val="right"/>
        </w:trPr>
        <w:tc>
          <w:tcPr>
            <w:tcW w:w="6237" w:type="dxa"/>
            <w:shd w:val="clear" w:color="auto" w:fill="auto"/>
            <w:tcMar>
              <w:top w:w="0" w:type="dxa"/>
              <w:left w:w="57" w:type="dxa"/>
              <w:bottom w:w="0" w:type="dxa"/>
              <w:right w:w="57" w:type="dxa"/>
            </w:tcMar>
          </w:tcPr>
          <w:p w14:paraId="0A5C5662" w14:textId="77777777" w:rsidR="0057681A" w:rsidRPr="0057681A" w:rsidRDefault="0057681A" w:rsidP="0057681A">
            <w:pPr>
              <w:tabs>
                <w:tab w:val="clear" w:pos="1247"/>
                <w:tab w:val="clear" w:pos="1814"/>
                <w:tab w:val="clear" w:pos="2381"/>
                <w:tab w:val="clear" w:pos="2948"/>
                <w:tab w:val="clear" w:pos="3515"/>
              </w:tabs>
              <w:spacing w:after="120"/>
              <w:rPr>
                <w:sz w:val="18"/>
                <w:szCs w:val="18"/>
              </w:rPr>
            </w:pPr>
            <w:r w:rsidRPr="0057681A">
              <w:rPr>
                <w:sz w:val="18"/>
                <w:szCs w:val="18"/>
              </w:rPr>
              <w:t xml:space="preserve">Подготовить уточненный проект доклада </w:t>
            </w:r>
          </w:p>
        </w:tc>
        <w:tc>
          <w:tcPr>
            <w:tcW w:w="1843" w:type="dxa"/>
            <w:shd w:val="clear" w:color="auto" w:fill="auto"/>
            <w:tcMar>
              <w:top w:w="0" w:type="dxa"/>
              <w:left w:w="57" w:type="dxa"/>
              <w:bottom w:w="0" w:type="dxa"/>
              <w:right w:w="57" w:type="dxa"/>
            </w:tcMar>
          </w:tcPr>
          <w:p w14:paraId="136A98EA" w14:textId="77777777" w:rsidR="0057681A" w:rsidRPr="0057681A" w:rsidRDefault="0057681A" w:rsidP="0057681A">
            <w:pPr>
              <w:tabs>
                <w:tab w:val="clear" w:pos="1247"/>
                <w:tab w:val="clear" w:pos="1814"/>
                <w:tab w:val="clear" w:pos="2381"/>
                <w:tab w:val="clear" w:pos="2948"/>
                <w:tab w:val="clear" w:pos="3515"/>
              </w:tabs>
              <w:spacing w:after="120"/>
              <w:rPr>
                <w:sz w:val="18"/>
                <w:szCs w:val="18"/>
              </w:rPr>
            </w:pPr>
            <w:r w:rsidRPr="0057681A">
              <w:rPr>
                <w:sz w:val="18"/>
                <w:szCs w:val="18"/>
              </w:rPr>
              <w:t>Май</w:t>
            </w:r>
            <w:r w:rsidRPr="0057681A">
              <w:rPr>
                <w:sz w:val="18"/>
                <w:szCs w:val="18"/>
                <w:lang w:val="en-GB"/>
              </w:rPr>
              <w:t>-</w:t>
            </w:r>
            <w:r w:rsidRPr="0057681A">
              <w:rPr>
                <w:sz w:val="18"/>
                <w:szCs w:val="18"/>
              </w:rPr>
              <w:t>июль 2019 года</w:t>
            </w:r>
          </w:p>
        </w:tc>
      </w:tr>
      <w:tr w:rsidR="0057681A" w:rsidRPr="0057681A" w14:paraId="1B3528E2" w14:textId="77777777" w:rsidTr="0074340B">
        <w:trPr>
          <w:trHeight w:val="227"/>
          <w:jc w:val="right"/>
        </w:trPr>
        <w:tc>
          <w:tcPr>
            <w:tcW w:w="6237" w:type="dxa"/>
            <w:shd w:val="clear" w:color="auto" w:fill="auto"/>
            <w:tcMar>
              <w:top w:w="0" w:type="dxa"/>
              <w:left w:w="57" w:type="dxa"/>
              <w:bottom w:w="0" w:type="dxa"/>
              <w:right w:w="57" w:type="dxa"/>
            </w:tcMar>
          </w:tcPr>
          <w:p w14:paraId="6B69B37E" w14:textId="77777777" w:rsidR="0057681A" w:rsidRPr="0057681A" w:rsidRDefault="0057681A" w:rsidP="0057681A">
            <w:pPr>
              <w:tabs>
                <w:tab w:val="clear" w:pos="1247"/>
                <w:tab w:val="clear" w:pos="1814"/>
                <w:tab w:val="clear" w:pos="2381"/>
                <w:tab w:val="clear" w:pos="2948"/>
                <w:tab w:val="clear" w:pos="3515"/>
              </w:tabs>
              <w:spacing w:after="120"/>
              <w:rPr>
                <w:sz w:val="18"/>
                <w:szCs w:val="18"/>
              </w:rPr>
            </w:pPr>
            <w:r w:rsidRPr="0057681A">
              <w:rPr>
                <w:sz w:val="18"/>
                <w:szCs w:val="18"/>
              </w:rPr>
              <w:t>Уточненный проект доклада открыт для замечаний Сторон</w:t>
            </w:r>
          </w:p>
        </w:tc>
        <w:tc>
          <w:tcPr>
            <w:tcW w:w="1843" w:type="dxa"/>
            <w:shd w:val="clear" w:color="auto" w:fill="auto"/>
            <w:tcMar>
              <w:top w:w="0" w:type="dxa"/>
              <w:left w:w="57" w:type="dxa"/>
              <w:bottom w:w="0" w:type="dxa"/>
              <w:right w:w="57" w:type="dxa"/>
            </w:tcMar>
          </w:tcPr>
          <w:p w14:paraId="5117DAE3" w14:textId="77777777" w:rsidR="0057681A" w:rsidRPr="0057681A" w:rsidRDefault="0057681A" w:rsidP="0057681A">
            <w:pPr>
              <w:tabs>
                <w:tab w:val="clear" w:pos="1247"/>
                <w:tab w:val="clear" w:pos="1814"/>
                <w:tab w:val="clear" w:pos="2381"/>
                <w:tab w:val="clear" w:pos="2948"/>
                <w:tab w:val="clear" w:pos="3515"/>
              </w:tabs>
              <w:spacing w:after="120"/>
              <w:rPr>
                <w:sz w:val="18"/>
                <w:szCs w:val="18"/>
              </w:rPr>
            </w:pPr>
            <w:r w:rsidRPr="0057681A">
              <w:rPr>
                <w:sz w:val="18"/>
                <w:szCs w:val="18"/>
              </w:rPr>
              <w:t>Август</w:t>
            </w:r>
            <w:r w:rsidRPr="0057681A">
              <w:rPr>
                <w:sz w:val="18"/>
                <w:szCs w:val="18"/>
                <w:lang w:val="en-GB"/>
              </w:rPr>
              <w:t>-</w:t>
            </w:r>
            <w:r w:rsidRPr="0057681A">
              <w:rPr>
                <w:sz w:val="18"/>
                <w:szCs w:val="18"/>
              </w:rPr>
              <w:t>середина сентября 2019 года</w:t>
            </w:r>
          </w:p>
        </w:tc>
      </w:tr>
      <w:tr w:rsidR="0057681A" w:rsidRPr="0057681A" w14:paraId="25043FA2" w14:textId="77777777" w:rsidTr="0074340B">
        <w:trPr>
          <w:trHeight w:val="227"/>
          <w:jc w:val="right"/>
        </w:trPr>
        <w:tc>
          <w:tcPr>
            <w:tcW w:w="6237" w:type="dxa"/>
            <w:shd w:val="clear" w:color="auto" w:fill="auto"/>
            <w:tcMar>
              <w:top w:w="0" w:type="dxa"/>
              <w:left w:w="57" w:type="dxa"/>
              <w:bottom w:w="0" w:type="dxa"/>
              <w:right w:w="57" w:type="dxa"/>
            </w:tcMar>
          </w:tcPr>
          <w:p w14:paraId="616E2796" w14:textId="77777777" w:rsidR="0057681A" w:rsidRPr="0057681A" w:rsidRDefault="0057681A" w:rsidP="0057681A">
            <w:pPr>
              <w:tabs>
                <w:tab w:val="clear" w:pos="1247"/>
                <w:tab w:val="clear" w:pos="1814"/>
                <w:tab w:val="clear" w:pos="2381"/>
                <w:tab w:val="clear" w:pos="2948"/>
                <w:tab w:val="clear" w:pos="3515"/>
              </w:tabs>
              <w:spacing w:after="120"/>
              <w:rPr>
                <w:sz w:val="18"/>
                <w:szCs w:val="18"/>
              </w:rPr>
            </w:pPr>
            <w:r w:rsidRPr="0057681A">
              <w:rPr>
                <w:sz w:val="18"/>
                <w:szCs w:val="18"/>
              </w:rPr>
              <w:t>Дальнейшее уточнение доклада</w:t>
            </w:r>
          </w:p>
        </w:tc>
        <w:tc>
          <w:tcPr>
            <w:tcW w:w="1843" w:type="dxa"/>
            <w:shd w:val="clear" w:color="auto" w:fill="auto"/>
            <w:tcMar>
              <w:top w:w="0" w:type="dxa"/>
              <w:left w:w="57" w:type="dxa"/>
              <w:bottom w:w="0" w:type="dxa"/>
              <w:right w:w="57" w:type="dxa"/>
            </w:tcMar>
          </w:tcPr>
          <w:p w14:paraId="59F19C41" w14:textId="77777777" w:rsidR="0057681A" w:rsidRPr="0057681A" w:rsidRDefault="0057681A" w:rsidP="0057681A">
            <w:pPr>
              <w:tabs>
                <w:tab w:val="clear" w:pos="1247"/>
                <w:tab w:val="clear" w:pos="1814"/>
                <w:tab w:val="clear" w:pos="2381"/>
                <w:tab w:val="clear" w:pos="2948"/>
                <w:tab w:val="clear" w:pos="3515"/>
              </w:tabs>
              <w:spacing w:after="120"/>
              <w:rPr>
                <w:sz w:val="18"/>
                <w:szCs w:val="18"/>
              </w:rPr>
            </w:pPr>
            <w:r w:rsidRPr="0057681A">
              <w:rPr>
                <w:sz w:val="18"/>
                <w:szCs w:val="18"/>
              </w:rPr>
              <w:t>Сентябрь 2019 года</w:t>
            </w:r>
          </w:p>
        </w:tc>
      </w:tr>
      <w:tr w:rsidR="0057681A" w:rsidRPr="0057681A" w14:paraId="445D3286" w14:textId="77777777" w:rsidTr="0074340B">
        <w:trPr>
          <w:trHeight w:val="227"/>
          <w:jc w:val="right"/>
        </w:trPr>
        <w:tc>
          <w:tcPr>
            <w:tcW w:w="6237" w:type="dxa"/>
            <w:tcBorders>
              <w:bottom w:val="single" w:sz="12" w:space="0" w:color="auto"/>
            </w:tcBorders>
            <w:shd w:val="clear" w:color="auto" w:fill="auto"/>
            <w:tcMar>
              <w:top w:w="0" w:type="dxa"/>
              <w:left w:w="57" w:type="dxa"/>
              <w:bottom w:w="0" w:type="dxa"/>
              <w:right w:w="57" w:type="dxa"/>
            </w:tcMar>
          </w:tcPr>
          <w:p w14:paraId="2F09F169" w14:textId="77777777" w:rsidR="0057681A" w:rsidRPr="0057681A" w:rsidRDefault="0057681A" w:rsidP="0057681A">
            <w:pPr>
              <w:tabs>
                <w:tab w:val="clear" w:pos="1247"/>
                <w:tab w:val="clear" w:pos="1814"/>
                <w:tab w:val="clear" w:pos="2381"/>
                <w:tab w:val="clear" w:pos="2948"/>
                <w:tab w:val="clear" w:pos="3515"/>
              </w:tabs>
              <w:rPr>
                <w:sz w:val="18"/>
                <w:szCs w:val="18"/>
              </w:rPr>
            </w:pPr>
            <w:r w:rsidRPr="0057681A">
              <w:rPr>
                <w:sz w:val="18"/>
                <w:szCs w:val="18"/>
              </w:rPr>
              <w:t xml:space="preserve">Окончательная редакция доклада готова для рассмотрения Конференцией </w:t>
            </w:r>
            <w:r w:rsidRPr="0057681A">
              <w:rPr>
                <w:sz w:val="18"/>
                <w:szCs w:val="18"/>
              </w:rPr>
              <w:br/>
              <w:t>Сторон на ее третьем совещании</w:t>
            </w:r>
          </w:p>
        </w:tc>
        <w:tc>
          <w:tcPr>
            <w:tcW w:w="1843" w:type="dxa"/>
            <w:tcBorders>
              <w:bottom w:val="single" w:sz="12" w:space="0" w:color="auto"/>
            </w:tcBorders>
            <w:shd w:val="clear" w:color="auto" w:fill="auto"/>
            <w:tcMar>
              <w:top w:w="0" w:type="dxa"/>
              <w:left w:w="57" w:type="dxa"/>
              <w:bottom w:w="0" w:type="dxa"/>
              <w:right w:w="57" w:type="dxa"/>
            </w:tcMar>
          </w:tcPr>
          <w:p w14:paraId="2B7F0E88" w14:textId="77777777" w:rsidR="0057681A" w:rsidRPr="0057681A" w:rsidRDefault="0057681A" w:rsidP="0057681A">
            <w:pPr>
              <w:tabs>
                <w:tab w:val="clear" w:pos="1247"/>
                <w:tab w:val="clear" w:pos="1814"/>
                <w:tab w:val="clear" w:pos="2381"/>
                <w:tab w:val="clear" w:pos="2948"/>
                <w:tab w:val="clear" w:pos="3515"/>
              </w:tabs>
              <w:rPr>
                <w:sz w:val="18"/>
                <w:szCs w:val="18"/>
              </w:rPr>
            </w:pPr>
            <w:r w:rsidRPr="0057681A">
              <w:rPr>
                <w:sz w:val="18"/>
                <w:szCs w:val="18"/>
              </w:rPr>
              <w:t>Октябрь 2019 года</w:t>
            </w:r>
          </w:p>
        </w:tc>
      </w:tr>
    </w:tbl>
    <w:p w14:paraId="7A425BC3" w14:textId="00A53F02" w:rsidR="009027BB" w:rsidRPr="000072D0" w:rsidRDefault="009027BB" w:rsidP="000072D0">
      <w:pPr>
        <w:tabs>
          <w:tab w:val="left" w:pos="4082"/>
        </w:tabs>
        <w:rPr>
          <w:lang w:val="en-US"/>
        </w:rPr>
      </w:pPr>
    </w:p>
    <w:sectPr w:rsidR="009027BB" w:rsidRPr="000072D0" w:rsidSect="00C6769E">
      <w:headerReference w:type="even" r:id="rId13"/>
      <w:headerReference w:type="default" r:id="rId14"/>
      <w:footerReference w:type="even" r:id="rId15"/>
      <w:footerReference w:type="default" r:id="rId16"/>
      <w:headerReference w:type="first" r:id="rId17"/>
      <w:footerReference w:type="first" r:id="rId18"/>
      <w:footnotePr>
        <w:numStart w:val="11"/>
      </w:foot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4B522" w14:textId="77777777" w:rsidR="00E6269A" w:rsidRDefault="00E6269A">
      <w:r>
        <w:separator/>
      </w:r>
    </w:p>
  </w:endnote>
  <w:endnote w:type="continuationSeparator" w:id="0">
    <w:p w14:paraId="4F7EB936" w14:textId="77777777" w:rsidR="00E6269A" w:rsidRDefault="00E6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B75" w14:textId="24DEF760" w:rsidR="00503842" w:rsidRPr="001C208E" w:rsidRDefault="00503842"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D921" w14:textId="54AE1831" w:rsidR="00503842" w:rsidRDefault="00503842"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E341" w14:textId="4388AFD0" w:rsidR="00503842" w:rsidRPr="00620245" w:rsidRDefault="00503842" w:rsidP="000A2D09">
    <w:pPr>
      <w:pStyle w:val="Footer"/>
      <w:tabs>
        <w:tab w:val="clear" w:pos="1247"/>
        <w:tab w:val="clear" w:pos="1814"/>
        <w:tab w:val="clear" w:pos="2381"/>
        <w:tab w:val="clear" w:pos="2948"/>
        <w:tab w:val="clear" w:pos="3515"/>
        <w:tab w:val="clear" w:pos="4320"/>
        <w:tab w:val="clear" w:pos="8640"/>
      </w:tabs>
      <w:rPr>
        <w:sz w:val="20"/>
        <w:lang w:val="en-GB"/>
      </w:rPr>
    </w:pPr>
    <w:r>
      <w:rPr>
        <w:sz w:val="20"/>
        <w:lang w:val="en-GB"/>
      </w:rPr>
      <w:t>K2000716</w:t>
    </w:r>
    <w:r>
      <w:rPr>
        <w:sz w:val="20"/>
        <w:lang w:val="en-US"/>
      </w:rPr>
      <w:t xml:space="preserve">      </w:t>
    </w:r>
    <w:r>
      <w:rPr>
        <w:sz w:val="20"/>
        <w:lang w:val="en-GB"/>
      </w:rPr>
      <w:t>1</w:t>
    </w:r>
    <w:r w:rsidR="00383D0E">
      <w:rPr>
        <w:sz w:val="20"/>
        <w:lang w:val="en-GB"/>
      </w:rPr>
      <w:t>8</w:t>
    </w:r>
    <w:r>
      <w:rPr>
        <w:sz w:val="20"/>
        <w:lang w:val="en-US"/>
      </w:rPr>
      <w:t>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7E2A2" w14:textId="77777777" w:rsidR="00E6269A" w:rsidRDefault="00E6269A" w:rsidP="00851756">
      <w:pPr>
        <w:spacing w:before="60"/>
        <w:ind w:left="624"/>
      </w:pPr>
      <w:r>
        <w:separator/>
      </w:r>
    </w:p>
  </w:footnote>
  <w:footnote w:type="continuationSeparator" w:id="0">
    <w:p w14:paraId="658B754B" w14:textId="77777777" w:rsidR="00E6269A" w:rsidRDefault="00E6269A">
      <w:r>
        <w:continuationSeparator/>
      </w:r>
    </w:p>
  </w:footnote>
  <w:footnote w:id="1">
    <w:p w14:paraId="2450432B" w14:textId="77777777" w:rsidR="0057681A" w:rsidRPr="008439A6" w:rsidRDefault="0057681A" w:rsidP="0057681A">
      <w:pPr>
        <w:pStyle w:val="FootnoteText"/>
        <w:tabs>
          <w:tab w:val="clear" w:pos="1247"/>
          <w:tab w:val="clear" w:pos="1814"/>
          <w:tab w:val="clear" w:pos="2381"/>
          <w:tab w:val="clear" w:pos="2948"/>
          <w:tab w:val="clear" w:pos="3515"/>
          <w:tab w:val="clear" w:pos="4082"/>
        </w:tabs>
        <w:rPr>
          <w:szCs w:val="18"/>
        </w:rPr>
      </w:pPr>
      <w:r w:rsidRPr="008439A6">
        <w:rPr>
          <w:rStyle w:val="FootnoteReference"/>
          <w:sz w:val="18"/>
        </w:rPr>
        <w:footnoteRef/>
      </w:r>
      <w:r w:rsidRPr="008439A6">
        <w:rPr>
          <w:szCs w:val="18"/>
        </w:rPr>
        <w:tab/>
        <w:t>UNEP/MC/COP.2/INF/8.</w:t>
      </w:r>
    </w:p>
  </w:footnote>
  <w:footnote w:id="2">
    <w:p w14:paraId="362D96B3" w14:textId="77777777" w:rsidR="0057681A" w:rsidRPr="008439A6" w:rsidRDefault="0057681A" w:rsidP="0057681A">
      <w:pPr>
        <w:pStyle w:val="FootnoteText"/>
        <w:tabs>
          <w:tab w:val="clear" w:pos="1247"/>
          <w:tab w:val="clear" w:pos="1814"/>
          <w:tab w:val="clear" w:pos="2381"/>
          <w:tab w:val="clear" w:pos="2948"/>
          <w:tab w:val="clear" w:pos="3515"/>
          <w:tab w:val="clear" w:pos="4082"/>
        </w:tabs>
        <w:rPr>
          <w:szCs w:val="18"/>
        </w:rPr>
      </w:pPr>
      <w:r w:rsidRPr="008439A6">
        <w:rPr>
          <w:szCs w:val="18"/>
          <w:vertAlign w:val="superscript"/>
        </w:rPr>
        <w:footnoteRef/>
      </w:r>
      <w:r w:rsidRPr="008439A6">
        <w:rPr>
          <w:szCs w:val="18"/>
        </w:rPr>
        <w:tab/>
        <w:t>Если не указано иное, применяется положение, изложенное в решении MК-1/9.</w:t>
      </w:r>
    </w:p>
  </w:footnote>
  <w:footnote w:id="3">
    <w:p w14:paraId="0DFB0ED9" w14:textId="77777777" w:rsidR="0057681A" w:rsidRPr="00753A22" w:rsidRDefault="0057681A" w:rsidP="0057681A">
      <w:pPr>
        <w:pStyle w:val="FootnoteText"/>
        <w:tabs>
          <w:tab w:val="clear" w:pos="1247"/>
          <w:tab w:val="clear" w:pos="1814"/>
          <w:tab w:val="clear" w:pos="2381"/>
          <w:tab w:val="clear" w:pos="2948"/>
          <w:tab w:val="clear" w:pos="3515"/>
          <w:tab w:val="clear" w:pos="4082"/>
        </w:tabs>
        <w:rPr>
          <w:szCs w:val="18"/>
        </w:rPr>
      </w:pPr>
      <w:r w:rsidRPr="00753A22">
        <w:rPr>
          <w:szCs w:val="18"/>
          <w:vertAlign w:val="superscript"/>
        </w:rPr>
        <w:footnoteRef/>
      </w:r>
      <w:r w:rsidRPr="00753A22">
        <w:rPr>
          <w:szCs w:val="18"/>
        </w:rPr>
        <w:tab/>
        <w:t xml:space="preserve">Имеющиеся данные включают как имеющиеся в настоящее время данные, так и данные, которые будут </w:t>
      </w:r>
      <w:r>
        <w:rPr>
          <w:szCs w:val="18"/>
        </w:rPr>
        <w:t>получены</w:t>
      </w:r>
      <w:r w:rsidRPr="00753A22">
        <w:rPr>
          <w:szCs w:val="18"/>
        </w:rPr>
        <w:t xml:space="preserve"> в будущем.</w:t>
      </w:r>
    </w:p>
  </w:footnote>
  <w:footnote w:id="4">
    <w:p w14:paraId="737548AF" w14:textId="77777777" w:rsidR="0057681A" w:rsidRPr="00753A22" w:rsidRDefault="0057681A" w:rsidP="0057681A">
      <w:pPr>
        <w:pStyle w:val="Text"/>
        <w:spacing w:before="20" w:after="40"/>
        <w:ind w:left="1247"/>
        <w:rPr>
          <w:sz w:val="18"/>
          <w:szCs w:val="18"/>
          <w:lang w:val="ru-RU"/>
        </w:rPr>
      </w:pPr>
      <w:r w:rsidRPr="00753A22">
        <w:rPr>
          <w:sz w:val="18"/>
          <w:szCs w:val="18"/>
          <w:vertAlign w:val="superscript"/>
          <w:lang w:val="ru-RU"/>
        </w:rPr>
        <w:footnoteRef/>
      </w:r>
      <w:r w:rsidRPr="00753A22">
        <w:rPr>
          <w:sz w:val="18"/>
          <w:szCs w:val="18"/>
          <w:lang w:val="ru-RU"/>
        </w:rPr>
        <w:tab/>
        <w:t xml:space="preserve">Данные являются сопоставимыми, если они </w:t>
      </w:r>
      <w:r>
        <w:rPr>
          <w:sz w:val="18"/>
          <w:szCs w:val="18"/>
          <w:lang w:val="ru-RU"/>
        </w:rPr>
        <w:t>получены</w:t>
      </w:r>
      <w:r w:rsidRPr="00753A22">
        <w:rPr>
          <w:sz w:val="18"/>
          <w:szCs w:val="18"/>
          <w:lang w:val="ru-RU"/>
        </w:rPr>
        <w:t xml:space="preserve"> с использованием </w:t>
      </w:r>
      <w:r>
        <w:rPr>
          <w:sz w:val="18"/>
          <w:szCs w:val="18"/>
          <w:lang w:val="ru-RU"/>
        </w:rPr>
        <w:t>тождественных</w:t>
      </w:r>
      <w:r w:rsidRPr="00753A22">
        <w:rPr>
          <w:sz w:val="18"/>
          <w:szCs w:val="18"/>
          <w:lang w:val="ru-RU"/>
        </w:rPr>
        <w:t xml:space="preserve"> методологий. Сопоставимость данных также может быть обеспечена за счет применения стандартизированных и известных научных методологий.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2C64" w14:textId="6AC69840" w:rsidR="00503842" w:rsidRPr="00942112" w:rsidRDefault="00503842" w:rsidP="000A2D09">
    <w:pPr>
      <w:pStyle w:val="Header"/>
      <w:tabs>
        <w:tab w:val="clear" w:pos="1247"/>
        <w:tab w:val="clear" w:pos="4536"/>
        <w:tab w:val="clear" w:pos="9072"/>
      </w:tabs>
      <w:rPr>
        <w:szCs w:val="18"/>
        <w:lang w:val="en-US"/>
      </w:rPr>
    </w:pPr>
    <w:r>
      <w:rPr>
        <w:lang w:val="en-US"/>
      </w:rPr>
      <w:t>UNEP/MC/COP.</w:t>
    </w:r>
    <w:r w:rsidR="00C67821">
      <w:rPr>
        <w:lang w:val="en-US"/>
      </w:rPr>
      <w:t>2</w:t>
    </w:r>
    <w:r>
      <w:rPr>
        <w:lang w:val="en-US"/>
      </w:rPr>
      <w:t>/</w:t>
    </w:r>
    <w:r w:rsidR="00801B64">
      <w:rPr>
        <w:lang w:val="en-US"/>
      </w:rPr>
      <w:t>Dec.</w:t>
    </w:r>
    <w:r w:rsidR="0057681A">
      <w:rPr>
        <w:lang w:val="en-US"/>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C210" w14:textId="5DE7A617" w:rsidR="00503842" w:rsidRPr="00942112" w:rsidRDefault="00503842" w:rsidP="00F1712F">
    <w:pPr>
      <w:pStyle w:val="Header"/>
      <w:tabs>
        <w:tab w:val="clear" w:pos="1247"/>
        <w:tab w:val="clear" w:pos="4536"/>
        <w:tab w:val="clear" w:pos="9072"/>
      </w:tabs>
      <w:jc w:val="right"/>
      <w:rPr>
        <w:szCs w:val="18"/>
        <w:lang w:val="en-US"/>
      </w:rPr>
    </w:pPr>
    <w:r>
      <w:rPr>
        <w:lang w:val="en-US"/>
      </w:rPr>
      <w:t>UNEP/MC/COP.</w:t>
    </w:r>
    <w:r w:rsidR="002316D8">
      <w:rPr>
        <w:lang w:val="en-US"/>
      </w:rPr>
      <w:t>2</w:t>
    </w:r>
    <w:r>
      <w:rPr>
        <w:lang w:val="en-US"/>
      </w:rPr>
      <w:t>/</w:t>
    </w:r>
    <w:r w:rsidR="00801B64">
      <w:rPr>
        <w:lang w:val="en-US"/>
      </w:rPr>
      <w:t>Dec.</w:t>
    </w:r>
    <w:r w:rsidR="0057681A">
      <w:rPr>
        <w:lang w:val="en-US"/>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3D9A" w14:textId="422262CC" w:rsidR="00503842" w:rsidRDefault="0050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56B0D"/>
    <w:multiLevelType w:val="hybridMultilevel"/>
    <w:tmpl w:val="2750AF1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0187811"/>
    <w:multiLevelType w:val="hybridMultilevel"/>
    <w:tmpl w:val="D840CD1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3662E0F"/>
    <w:multiLevelType w:val="hybridMultilevel"/>
    <w:tmpl w:val="59DA63C4"/>
    <w:lvl w:ilvl="0" w:tplc="986E5996">
      <w:start w:val="1"/>
      <w:numFmt w:val="bullet"/>
      <w:lvlText w:val="▪"/>
      <w:lvlJc w:val="left"/>
      <w:pPr>
        <w:ind w:left="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cs="Wingdings" w:hint="default"/>
      </w:rPr>
    </w:lvl>
    <w:lvl w:ilvl="3" w:tplc="08090001" w:tentative="1">
      <w:start w:val="1"/>
      <w:numFmt w:val="bullet"/>
      <w:lvlText w:val=""/>
      <w:lvlJc w:val="left"/>
      <w:pPr>
        <w:ind w:left="2166" w:hanging="360"/>
      </w:pPr>
      <w:rPr>
        <w:rFonts w:ascii="Symbol" w:hAnsi="Symbol" w:cs="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cs="Wingdings" w:hint="default"/>
      </w:rPr>
    </w:lvl>
    <w:lvl w:ilvl="6" w:tplc="08090001" w:tentative="1">
      <w:start w:val="1"/>
      <w:numFmt w:val="bullet"/>
      <w:lvlText w:val=""/>
      <w:lvlJc w:val="left"/>
      <w:pPr>
        <w:ind w:left="4326" w:hanging="360"/>
      </w:pPr>
      <w:rPr>
        <w:rFonts w:ascii="Symbol" w:hAnsi="Symbol" w:cs="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cs="Wingdings" w:hint="default"/>
      </w:rPr>
    </w:lvl>
  </w:abstractNum>
  <w:abstractNum w:abstractNumId="10" w15:restartNumberingAfterBreak="0">
    <w:nsid w:val="54574E49"/>
    <w:multiLevelType w:val="hybridMultilevel"/>
    <w:tmpl w:val="7B783EE4"/>
    <w:lvl w:ilvl="0" w:tplc="F692D98C">
      <w:start w:val="7"/>
      <w:numFmt w:val="decimal"/>
      <w:lvlText w:val="%1."/>
      <w:lvlJc w:val="left"/>
      <w:pPr>
        <w:ind w:left="2231" w:hanging="360"/>
      </w:pPr>
      <w:rPr>
        <w:rFonts w:eastAsia="Times New Roman" w:hint="default"/>
        <w:i w:val="0"/>
        <w:w w:val="100"/>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11" w15:restartNumberingAfterBreak="0">
    <w:nsid w:val="5AFE1330"/>
    <w:multiLevelType w:val="hybridMultilevel"/>
    <w:tmpl w:val="A9DC07F6"/>
    <w:lvl w:ilvl="0" w:tplc="C7E2D0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2" w15:restartNumberingAfterBreak="0">
    <w:nsid w:val="613F0A0D"/>
    <w:multiLevelType w:val="hybridMultilevel"/>
    <w:tmpl w:val="62ACC412"/>
    <w:lvl w:ilvl="0" w:tplc="5A3E7D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3"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5"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FB42071"/>
    <w:multiLevelType w:val="hybridMultilevel"/>
    <w:tmpl w:val="6FC8AD04"/>
    <w:lvl w:ilvl="0" w:tplc="17A213A4">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7BCE6E9E"/>
    <w:multiLevelType w:val="hybridMultilevel"/>
    <w:tmpl w:val="8214CB52"/>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3"/>
  </w:num>
  <w:num w:numId="3">
    <w:abstractNumId w:val="6"/>
  </w:num>
  <w:num w:numId="4">
    <w:abstractNumId w:val="8"/>
  </w:num>
  <w:num w:numId="5">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5"/>
  </w:num>
  <w:num w:numId="7">
    <w:abstractNumId w:val="2"/>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8"/>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7"/>
  </w:num>
  <w:num w:numId="19">
    <w:abstractNumId w:val="8"/>
    <w:lvlOverride w:ilvl="1">
      <w:lvl w:ilvl="1">
        <w:start w:val="1"/>
        <w:numFmt w:val="lowerLetter"/>
        <w:lvlText w:val="(%2)"/>
        <w:lvlJc w:val="left"/>
        <w:pPr>
          <w:tabs>
            <w:tab w:val="num" w:pos="1134"/>
          </w:tabs>
          <w:ind w:left="1247" w:firstLine="567"/>
        </w:pPr>
        <w:rPr>
          <w:rFonts w:hint="default"/>
        </w:rPr>
      </w:lvl>
    </w:lvlOverride>
  </w:num>
  <w:num w:numId="20">
    <w:abstractNumId w:val="0"/>
  </w:num>
  <w:num w:numId="21">
    <w:abstractNumId w:val="12"/>
    <w:lvlOverride w:ilvl="0">
      <w:lvl w:ilvl="0" w:tplc="5A3E7D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2">
    <w:abstractNumId w:val="11"/>
    <w:lvlOverride w:ilvl="0">
      <w:lvl w:ilvl="0" w:tplc="C7E2D0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3">
    <w:abstractNumId w:val="10"/>
  </w:num>
  <w:num w:numId="24">
    <w:abstractNumId w:val="17"/>
  </w:num>
  <w:num w:numId="25">
    <w:abstractNumId w:val="4"/>
  </w:num>
  <w:num w:numId="26">
    <w:abstractNumId w:val="1"/>
  </w:num>
  <w:num w:numId="27">
    <w:abstractNumId w:val="16"/>
    <w:lvlOverride w:ilvl="0">
      <w:lvl w:ilvl="0" w:tplc="17A213A4">
        <w:start w:val="1"/>
        <w:numFmt w:val="decimal"/>
        <w:lvlText w:val="%1."/>
        <w:lvlJc w:val="left"/>
        <w:pPr>
          <w:ind w:left="1396" w:hanging="360"/>
        </w:pPr>
        <w:rPr>
          <w:color w:val="auto"/>
          <w:u w:val="none"/>
        </w:rPr>
      </w:lvl>
    </w:lvlOverride>
    <w:lvlOverride w:ilvl="1">
      <w:lvl w:ilvl="1" w:tplc="00000001">
        <w:start w:val="1"/>
        <w:numFmt w:val="lowerLetter"/>
        <w:lvlText w:val="%2."/>
        <w:lvlJc w:val="left"/>
        <w:pPr>
          <w:ind w:left="2116" w:hanging="360"/>
        </w:pPr>
        <w:rPr>
          <w:color w:val="0000FF"/>
          <w:u w:val="double"/>
        </w:rPr>
      </w:lvl>
    </w:lvlOverride>
    <w:lvlOverride w:ilvl="2">
      <w:lvl w:ilvl="2" w:tplc="00000002">
        <w:start w:val="1"/>
        <w:numFmt w:val="lowerRoman"/>
        <w:lvlText w:val="%3."/>
        <w:lvlJc w:val="right"/>
        <w:pPr>
          <w:ind w:left="2836" w:hanging="180"/>
        </w:pPr>
        <w:rPr>
          <w:color w:val="0000FF"/>
          <w:u w:val="double"/>
        </w:rPr>
      </w:lvl>
    </w:lvlOverride>
    <w:lvlOverride w:ilvl="3">
      <w:lvl w:ilvl="3" w:tplc="00000003">
        <w:start w:val="1"/>
        <w:numFmt w:val="decimal"/>
        <w:lvlText w:val="%4."/>
        <w:lvlJc w:val="left"/>
        <w:pPr>
          <w:ind w:left="3556" w:hanging="360"/>
        </w:pPr>
        <w:rPr>
          <w:color w:val="0000FF"/>
          <w:u w:val="double"/>
        </w:rPr>
      </w:lvl>
    </w:lvlOverride>
    <w:lvlOverride w:ilvl="4">
      <w:lvl w:ilvl="4" w:tplc="00000004">
        <w:start w:val="1"/>
        <w:numFmt w:val="lowerLetter"/>
        <w:lvlText w:val="%5."/>
        <w:lvlJc w:val="left"/>
        <w:pPr>
          <w:ind w:left="4276" w:hanging="360"/>
        </w:pPr>
        <w:rPr>
          <w:color w:val="0000FF"/>
          <w:u w:val="double"/>
        </w:rPr>
      </w:lvl>
    </w:lvlOverride>
    <w:lvlOverride w:ilvl="5">
      <w:lvl w:ilvl="5" w:tplc="00000005">
        <w:start w:val="1"/>
        <w:numFmt w:val="lowerRoman"/>
        <w:lvlText w:val="%6."/>
        <w:lvlJc w:val="right"/>
        <w:pPr>
          <w:ind w:left="4996" w:hanging="180"/>
        </w:pPr>
        <w:rPr>
          <w:color w:val="0000FF"/>
          <w:u w:val="double"/>
        </w:rPr>
      </w:lvl>
    </w:lvlOverride>
    <w:lvlOverride w:ilvl="6">
      <w:lvl w:ilvl="6" w:tplc="00000006">
        <w:start w:val="1"/>
        <w:numFmt w:val="decimal"/>
        <w:lvlText w:val="%7."/>
        <w:lvlJc w:val="left"/>
        <w:pPr>
          <w:ind w:left="5716" w:hanging="360"/>
        </w:pPr>
        <w:rPr>
          <w:color w:val="0000FF"/>
          <w:u w:val="double"/>
        </w:rPr>
      </w:lvl>
    </w:lvlOverride>
    <w:lvlOverride w:ilvl="7">
      <w:lvl w:ilvl="7" w:tplc="00000007">
        <w:start w:val="1"/>
        <w:numFmt w:val="lowerLetter"/>
        <w:lvlText w:val="%8."/>
        <w:lvlJc w:val="left"/>
        <w:pPr>
          <w:ind w:left="6436" w:hanging="360"/>
        </w:pPr>
        <w:rPr>
          <w:color w:val="0000FF"/>
          <w:u w:val="double"/>
        </w:rPr>
      </w:lvl>
    </w:lvlOverride>
    <w:lvlOverride w:ilvl="8">
      <w:lvl w:ilvl="8" w:tplc="00000008">
        <w:start w:val="1"/>
        <w:numFmt w:val="lowerRoman"/>
        <w:lvlText w:val="%9."/>
        <w:lvlJc w:val="right"/>
        <w:pPr>
          <w:ind w:left="7156" w:hanging="180"/>
        </w:pPr>
        <w:rPr>
          <w:color w:val="0000FF"/>
          <w:u w:val="double"/>
        </w:rPr>
      </w:lvl>
    </w:lvlOverride>
  </w:num>
  <w:num w:numId="28">
    <w:abstractNumId w:val="9"/>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Start w:val="11"/>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7F"/>
    <w:rsid w:val="00000E4A"/>
    <w:rsid w:val="000016E8"/>
    <w:rsid w:val="000024A3"/>
    <w:rsid w:val="000072D0"/>
    <w:rsid w:val="00012E91"/>
    <w:rsid w:val="000149E6"/>
    <w:rsid w:val="00016069"/>
    <w:rsid w:val="0002368B"/>
    <w:rsid w:val="00023DA9"/>
    <w:rsid w:val="000247B0"/>
    <w:rsid w:val="0002502C"/>
    <w:rsid w:val="00026997"/>
    <w:rsid w:val="00026A08"/>
    <w:rsid w:val="00032E4E"/>
    <w:rsid w:val="00033E0B"/>
    <w:rsid w:val="00035EDE"/>
    <w:rsid w:val="000367F6"/>
    <w:rsid w:val="000461C4"/>
    <w:rsid w:val="000509B4"/>
    <w:rsid w:val="000553F1"/>
    <w:rsid w:val="0006035B"/>
    <w:rsid w:val="0006096F"/>
    <w:rsid w:val="000649C5"/>
    <w:rsid w:val="00066CAB"/>
    <w:rsid w:val="00066F03"/>
    <w:rsid w:val="00071886"/>
    <w:rsid w:val="000742BC"/>
    <w:rsid w:val="00075D5E"/>
    <w:rsid w:val="00076CC6"/>
    <w:rsid w:val="00082A0C"/>
    <w:rsid w:val="00082BFB"/>
    <w:rsid w:val="000832C7"/>
    <w:rsid w:val="00083504"/>
    <w:rsid w:val="00084873"/>
    <w:rsid w:val="000849CA"/>
    <w:rsid w:val="00086792"/>
    <w:rsid w:val="0008690D"/>
    <w:rsid w:val="00093477"/>
    <w:rsid w:val="0009640C"/>
    <w:rsid w:val="0009678D"/>
    <w:rsid w:val="000974CE"/>
    <w:rsid w:val="00097C9D"/>
    <w:rsid w:val="000A035D"/>
    <w:rsid w:val="000A0AE6"/>
    <w:rsid w:val="000A2D09"/>
    <w:rsid w:val="000A30D3"/>
    <w:rsid w:val="000A33DF"/>
    <w:rsid w:val="000A48BD"/>
    <w:rsid w:val="000A5627"/>
    <w:rsid w:val="000B22A2"/>
    <w:rsid w:val="000B3A56"/>
    <w:rsid w:val="000B5621"/>
    <w:rsid w:val="000B645B"/>
    <w:rsid w:val="000B6C42"/>
    <w:rsid w:val="000B73F9"/>
    <w:rsid w:val="000C2A52"/>
    <w:rsid w:val="000C402A"/>
    <w:rsid w:val="000C7AD7"/>
    <w:rsid w:val="000D24D3"/>
    <w:rsid w:val="000D33C0"/>
    <w:rsid w:val="000D4CF6"/>
    <w:rsid w:val="000D5315"/>
    <w:rsid w:val="000D6941"/>
    <w:rsid w:val="000E0220"/>
    <w:rsid w:val="000E04CD"/>
    <w:rsid w:val="000E2288"/>
    <w:rsid w:val="000F1B80"/>
    <w:rsid w:val="000F2123"/>
    <w:rsid w:val="000F4829"/>
    <w:rsid w:val="000F6535"/>
    <w:rsid w:val="001013DB"/>
    <w:rsid w:val="001056F1"/>
    <w:rsid w:val="00106C0B"/>
    <w:rsid w:val="00110D0D"/>
    <w:rsid w:val="001143B8"/>
    <w:rsid w:val="0011776D"/>
    <w:rsid w:val="001202E3"/>
    <w:rsid w:val="00123699"/>
    <w:rsid w:val="001241FB"/>
    <w:rsid w:val="00126CBE"/>
    <w:rsid w:val="00126E66"/>
    <w:rsid w:val="0013059D"/>
    <w:rsid w:val="00133418"/>
    <w:rsid w:val="00136187"/>
    <w:rsid w:val="00141A55"/>
    <w:rsid w:val="0014293F"/>
    <w:rsid w:val="0014397D"/>
    <w:rsid w:val="001446A3"/>
    <w:rsid w:val="00144A09"/>
    <w:rsid w:val="00145890"/>
    <w:rsid w:val="0014726D"/>
    <w:rsid w:val="00152B6B"/>
    <w:rsid w:val="00155395"/>
    <w:rsid w:val="00156B6B"/>
    <w:rsid w:val="00160D74"/>
    <w:rsid w:val="0016251F"/>
    <w:rsid w:val="00163913"/>
    <w:rsid w:val="0016441E"/>
    <w:rsid w:val="001646EA"/>
    <w:rsid w:val="00167D02"/>
    <w:rsid w:val="001759D8"/>
    <w:rsid w:val="00176E35"/>
    <w:rsid w:val="00177D7F"/>
    <w:rsid w:val="00180C3F"/>
    <w:rsid w:val="00181EC8"/>
    <w:rsid w:val="001836F2"/>
    <w:rsid w:val="00184349"/>
    <w:rsid w:val="00195F33"/>
    <w:rsid w:val="00196D40"/>
    <w:rsid w:val="001A04AA"/>
    <w:rsid w:val="001A3865"/>
    <w:rsid w:val="001A5F0F"/>
    <w:rsid w:val="001B1050"/>
    <w:rsid w:val="001B1617"/>
    <w:rsid w:val="001B1EB3"/>
    <w:rsid w:val="001B3A46"/>
    <w:rsid w:val="001B504B"/>
    <w:rsid w:val="001B6F89"/>
    <w:rsid w:val="001B6F98"/>
    <w:rsid w:val="001C0FF0"/>
    <w:rsid w:val="001C191A"/>
    <w:rsid w:val="001C208E"/>
    <w:rsid w:val="001D16BC"/>
    <w:rsid w:val="001D3874"/>
    <w:rsid w:val="001D7A56"/>
    <w:rsid w:val="001D7E75"/>
    <w:rsid w:val="001E0D73"/>
    <w:rsid w:val="001E4028"/>
    <w:rsid w:val="001E45BD"/>
    <w:rsid w:val="001E470E"/>
    <w:rsid w:val="001E4C58"/>
    <w:rsid w:val="001E56D2"/>
    <w:rsid w:val="001E7D56"/>
    <w:rsid w:val="001F0FBB"/>
    <w:rsid w:val="001F20E9"/>
    <w:rsid w:val="001F4EF3"/>
    <w:rsid w:val="001F75DE"/>
    <w:rsid w:val="00200ABD"/>
    <w:rsid w:val="00200D58"/>
    <w:rsid w:val="002011C1"/>
    <w:rsid w:val="002013BE"/>
    <w:rsid w:val="00201EDC"/>
    <w:rsid w:val="002063A4"/>
    <w:rsid w:val="0021145B"/>
    <w:rsid w:val="00220C23"/>
    <w:rsid w:val="002247F6"/>
    <w:rsid w:val="00225B23"/>
    <w:rsid w:val="00225E21"/>
    <w:rsid w:val="002274D8"/>
    <w:rsid w:val="002316D8"/>
    <w:rsid w:val="00234E78"/>
    <w:rsid w:val="00243D36"/>
    <w:rsid w:val="002445B0"/>
    <w:rsid w:val="00246151"/>
    <w:rsid w:val="0024616E"/>
    <w:rsid w:val="00247707"/>
    <w:rsid w:val="00255632"/>
    <w:rsid w:val="00256216"/>
    <w:rsid w:val="0026018E"/>
    <w:rsid w:val="002623CD"/>
    <w:rsid w:val="00264B53"/>
    <w:rsid w:val="002700E4"/>
    <w:rsid w:val="00272100"/>
    <w:rsid w:val="0027478E"/>
    <w:rsid w:val="00277CE2"/>
    <w:rsid w:val="00277F02"/>
    <w:rsid w:val="00282FC9"/>
    <w:rsid w:val="0028635C"/>
    <w:rsid w:val="00286740"/>
    <w:rsid w:val="00291B1A"/>
    <w:rsid w:val="00291EAE"/>
    <w:rsid w:val="002929D8"/>
    <w:rsid w:val="002936FF"/>
    <w:rsid w:val="00293DD3"/>
    <w:rsid w:val="0029570E"/>
    <w:rsid w:val="002A0E85"/>
    <w:rsid w:val="002A237D"/>
    <w:rsid w:val="002A4C53"/>
    <w:rsid w:val="002B0672"/>
    <w:rsid w:val="002B247F"/>
    <w:rsid w:val="002B50D4"/>
    <w:rsid w:val="002C145D"/>
    <w:rsid w:val="002C2C3E"/>
    <w:rsid w:val="002C3FC3"/>
    <w:rsid w:val="002C477F"/>
    <w:rsid w:val="002C533E"/>
    <w:rsid w:val="002C5EA0"/>
    <w:rsid w:val="002D027F"/>
    <w:rsid w:val="002D27E4"/>
    <w:rsid w:val="002D3E15"/>
    <w:rsid w:val="002D490A"/>
    <w:rsid w:val="002D7A85"/>
    <w:rsid w:val="002D7B60"/>
    <w:rsid w:val="002E51B8"/>
    <w:rsid w:val="002E6AF7"/>
    <w:rsid w:val="002E6C80"/>
    <w:rsid w:val="002F1C2B"/>
    <w:rsid w:val="002F42D1"/>
    <w:rsid w:val="002F4761"/>
    <w:rsid w:val="002F5C79"/>
    <w:rsid w:val="002F68EE"/>
    <w:rsid w:val="003019E2"/>
    <w:rsid w:val="00303C37"/>
    <w:rsid w:val="00304459"/>
    <w:rsid w:val="00304499"/>
    <w:rsid w:val="00304BEE"/>
    <w:rsid w:val="00310B4B"/>
    <w:rsid w:val="00310BEB"/>
    <w:rsid w:val="00312543"/>
    <w:rsid w:val="0031413F"/>
    <w:rsid w:val="00314854"/>
    <w:rsid w:val="003148BB"/>
    <w:rsid w:val="00317976"/>
    <w:rsid w:val="00320402"/>
    <w:rsid w:val="00320F2F"/>
    <w:rsid w:val="003249A6"/>
    <w:rsid w:val="00326E66"/>
    <w:rsid w:val="00332216"/>
    <w:rsid w:val="003338F7"/>
    <w:rsid w:val="00333EDD"/>
    <w:rsid w:val="00337D72"/>
    <w:rsid w:val="00341B08"/>
    <w:rsid w:val="00345DD6"/>
    <w:rsid w:val="00352AA5"/>
    <w:rsid w:val="00354998"/>
    <w:rsid w:val="00355EA9"/>
    <w:rsid w:val="003578DE"/>
    <w:rsid w:val="00360160"/>
    <w:rsid w:val="00361688"/>
    <w:rsid w:val="003616AB"/>
    <w:rsid w:val="00361855"/>
    <w:rsid w:val="00365981"/>
    <w:rsid w:val="00372443"/>
    <w:rsid w:val="00377FD5"/>
    <w:rsid w:val="00383D0E"/>
    <w:rsid w:val="003877D5"/>
    <w:rsid w:val="00390156"/>
    <w:rsid w:val="003929B8"/>
    <w:rsid w:val="003947DB"/>
    <w:rsid w:val="00396257"/>
    <w:rsid w:val="00397EB8"/>
    <w:rsid w:val="003A0B49"/>
    <w:rsid w:val="003A4FD0"/>
    <w:rsid w:val="003A69D1"/>
    <w:rsid w:val="003A7705"/>
    <w:rsid w:val="003A77F1"/>
    <w:rsid w:val="003B1545"/>
    <w:rsid w:val="003B2441"/>
    <w:rsid w:val="003B245F"/>
    <w:rsid w:val="003B34AA"/>
    <w:rsid w:val="003C2885"/>
    <w:rsid w:val="003C3219"/>
    <w:rsid w:val="003C34B1"/>
    <w:rsid w:val="003C3795"/>
    <w:rsid w:val="003C409D"/>
    <w:rsid w:val="003C5583"/>
    <w:rsid w:val="003C5BA6"/>
    <w:rsid w:val="003C5D0F"/>
    <w:rsid w:val="003C74CF"/>
    <w:rsid w:val="003D1E1C"/>
    <w:rsid w:val="003D2FCB"/>
    <w:rsid w:val="003D3752"/>
    <w:rsid w:val="003D4CF5"/>
    <w:rsid w:val="003E25B3"/>
    <w:rsid w:val="003E35DA"/>
    <w:rsid w:val="003E455D"/>
    <w:rsid w:val="003F0E85"/>
    <w:rsid w:val="003F10BE"/>
    <w:rsid w:val="003F51D1"/>
    <w:rsid w:val="003F5F95"/>
    <w:rsid w:val="00401D8B"/>
    <w:rsid w:val="00404D62"/>
    <w:rsid w:val="00405625"/>
    <w:rsid w:val="00406F9D"/>
    <w:rsid w:val="00410C55"/>
    <w:rsid w:val="00415FE6"/>
    <w:rsid w:val="00416854"/>
    <w:rsid w:val="00417725"/>
    <w:rsid w:val="00420709"/>
    <w:rsid w:val="00422013"/>
    <w:rsid w:val="00432F5B"/>
    <w:rsid w:val="004351EA"/>
    <w:rsid w:val="004375DD"/>
    <w:rsid w:val="00437EFD"/>
    <w:rsid w:val="00437F26"/>
    <w:rsid w:val="00442B55"/>
    <w:rsid w:val="00444097"/>
    <w:rsid w:val="00445487"/>
    <w:rsid w:val="00445E04"/>
    <w:rsid w:val="0044713F"/>
    <w:rsid w:val="00447E0D"/>
    <w:rsid w:val="00451E46"/>
    <w:rsid w:val="004521ED"/>
    <w:rsid w:val="00453A68"/>
    <w:rsid w:val="00454769"/>
    <w:rsid w:val="00454940"/>
    <w:rsid w:val="00457B01"/>
    <w:rsid w:val="00461A6D"/>
    <w:rsid w:val="0046222F"/>
    <w:rsid w:val="00465D27"/>
    <w:rsid w:val="00466991"/>
    <w:rsid w:val="0047064C"/>
    <w:rsid w:val="004822B7"/>
    <w:rsid w:val="00483E03"/>
    <w:rsid w:val="004844FA"/>
    <w:rsid w:val="00490473"/>
    <w:rsid w:val="0049469E"/>
    <w:rsid w:val="004A2217"/>
    <w:rsid w:val="004A24F9"/>
    <w:rsid w:val="004A42E1"/>
    <w:rsid w:val="004A6D96"/>
    <w:rsid w:val="004A7DDC"/>
    <w:rsid w:val="004B162C"/>
    <w:rsid w:val="004B2ABE"/>
    <w:rsid w:val="004B50B2"/>
    <w:rsid w:val="004C3DBE"/>
    <w:rsid w:val="004C5C96"/>
    <w:rsid w:val="004D06A4"/>
    <w:rsid w:val="004D1AEC"/>
    <w:rsid w:val="004E45D2"/>
    <w:rsid w:val="004F14FF"/>
    <w:rsid w:val="004F1A81"/>
    <w:rsid w:val="004F2185"/>
    <w:rsid w:val="004F21FA"/>
    <w:rsid w:val="004F3976"/>
    <w:rsid w:val="004F61BA"/>
    <w:rsid w:val="004F63BE"/>
    <w:rsid w:val="00500826"/>
    <w:rsid w:val="005029B4"/>
    <w:rsid w:val="00503842"/>
    <w:rsid w:val="005050D2"/>
    <w:rsid w:val="00511D7B"/>
    <w:rsid w:val="0051272E"/>
    <w:rsid w:val="00514C13"/>
    <w:rsid w:val="00516D71"/>
    <w:rsid w:val="005218D9"/>
    <w:rsid w:val="00521EED"/>
    <w:rsid w:val="0052216E"/>
    <w:rsid w:val="00525327"/>
    <w:rsid w:val="005254C3"/>
    <w:rsid w:val="005267CC"/>
    <w:rsid w:val="00530F06"/>
    <w:rsid w:val="00533188"/>
    <w:rsid w:val="005360CF"/>
    <w:rsid w:val="00536186"/>
    <w:rsid w:val="00540154"/>
    <w:rsid w:val="00543515"/>
    <w:rsid w:val="00544CBB"/>
    <w:rsid w:val="00545499"/>
    <w:rsid w:val="00550465"/>
    <w:rsid w:val="005610C0"/>
    <w:rsid w:val="00562374"/>
    <w:rsid w:val="005656D7"/>
    <w:rsid w:val="0056690C"/>
    <w:rsid w:val="00567280"/>
    <w:rsid w:val="00571C42"/>
    <w:rsid w:val="0057315F"/>
    <w:rsid w:val="005738A4"/>
    <w:rsid w:val="00576104"/>
    <w:rsid w:val="0057681A"/>
    <w:rsid w:val="00580923"/>
    <w:rsid w:val="00584860"/>
    <w:rsid w:val="005854D2"/>
    <w:rsid w:val="00592B21"/>
    <w:rsid w:val="005A110C"/>
    <w:rsid w:val="005A45BA"/>
    <w:rsid w:val="005B44BF"/>
    <w:rsid w:val="005B66F5"/>
    <w:rsid w:val="005B7359"/>
    <w:rsid w:val="005C4DFD"/>
    <w:rsid w:val="005C67C8"/>
    <w:rsid w:val="005C782C"/>
    <w:rsid w:val="005D0249"/>
    <w:rsid w:val="005D18FA"/>
    <w:rsid w:val="005D2120"/>
    <w:rsid w:val="005D25CF"/>
    <w:rsid w:val="005D4FD4"/>
    <w:rsid w:val="005D6E8C"/>
    <w:rsid w:val="005E12AF"/>
    <w:rsid w:val="005E3004"/>
    <w:rsid w:val="005E30C8"/>
    <w:rsid w:val="005E31A4"/>
    <w:rsid w:val="005E3C86"/>
    <w:rsid w:val="005F0C3A"/>
    <w:rsid w:val="005F100C"/>
    <w:rsid w:val="005F49D1"/>
    <w:rsid w:val="005F68DA"/>
    <w:rsid w:val="005F7F32"/>
    <w:rsid w:val="006004E9"/>
    <w:rsid w:val="00601BC9"/>
    <w:rsid w:val="00604E9B"/>
    <w:rsid w:val="0060773B"/>
    <w:rsid w:val="00613861"/>
    <w:rsid w:val="00613FD6"/>
    <w:rsid w:val="00614E24"/>
    <w:rsid w:val="006157B5"/>
    <w:rsid w:val="00616741"/>
    <w:rsid w:val="00617224"/>
    <w:rsid w:val="00620222"/>
    <w:rsid w:val="00620245"/>
    <w:rsid w:val="006233C8"/>
    <w:rsid w:val="006247E6"/>
    <w:rsid w:val="00624B58"/>
    <w:rsid w:val="00624C92"/>
    <w:rsid w:val="0062599F"/>
    <w:rsid w:val="00626FC6"/>
    <w:rsid w:val="006303B4"/>
    <w:rsid w:val="00630ADC"/>
    <w:rsid w:val="00631AAE"/>
    <w:rsid w:val="00632789"/>
    <w:rsid w:val="00632850"/>
    <w:rsid w:val="00633D3D"/>
    <w:rsid w:val="006343C4"/>
    <w:rsid w:val="006368F1"/>
    <w:rsid w:val="00640293"/>
    <w:rsid w:val="00641703"/>
    <w:rsid w:val="006431A6"/>
    <w:rsid w:val="00643B4C"/>
    <w:rsid w:val="00643E3A"/>
    <w:rsid w:val="00644EB9"/>
    <w:rsid w:val="006459F6"/>
    <w:rsid w:val="006501AD"/>
    <w:rsid w:val="00650B6C"/>
    <w:rsid w:val="00651BFA"/>
    <w:rsid w:val="006534F9"/>
    <w:rsid w:val="00654475"/>
    <w:rsid w:val="00655560"/>
    <w:rsid w:val="00656DF0"/>
    <w:rsid w:val="006576A5"/>
    <w:rsid w:val="00661446"/>
    <w:rsid w:val="00665396"/>
    <w:rsid w:val="00665A4B"/>
    <w:rsid w:val="00665D0D"/>
    <w:rsid w:val="00671E19"/>
    <w:rsid w:val="00674272"/>
    <w:rsid w:val="00684351"/>
    <w:rsid w:val="00684BE1"/>
    <w:rsid w:val="00692E2A"/>
    <w:rsid w:val="00693A9B"/>
    <w:rsid w:val="006A76F2"/>
    <w:rsid w:val="006A7DE0"/>
    <w:rsid w:val="006B6333"/>
    <w:rsid w:val="006C310F"/>
    <w:rsid w:val="006D19D4"/>
    <w:rsid w:val="006D2247"/>
    <w:rsid w:val="006D427E"/>
    <w:rsid w:val="006D7EFB"/>
    <w:rsid w:val="006E05D2"/>
    <w:rsid w:val="006E086B"/>
    <w:rsid w:val="006E0E82"/>
    <w:rsid w:val="006E1A9A"/>
    <w:rsid w:val="006E4EC7"/>
    <w:rsid w:val="006E5FF3"/>
    <w:rsid w:val="006E6672"/>
    <w:rsid w:val="006E6722"/>
    <w:rsid w:val="006F0D46"/>
    <w:rsid w:val="006F27D0"/>
    <w:rsid w:val="006F76D8"/>
    <w:rsid w:val="006F7AFF"/>
    <w:rsid w:val="00700B3B"/>
    <w:rsid w:val="007027B9"/>
    <w:rsid w:val="007066B5"/>
    <w:rsid w:val="0071156C"/>
    <w:rsid w:val="00711F4E"/>
    <w:rsid w:val="00713E6A"/>
    <w:rsid w:val="00713FAF"/>
    <w:rsid w:val="007145DA"/>
    <w:rsid w:val="00715E88"/>
    <w:rsid w:val="00720092"/>
    <w:rsid w:val="00721A6D"/>
    <w:rsid w:val="00726764"/>
    <w:rsid w:val="007334E8"/>
    <w:rsid w:val="00734CAA"/>
    <w:rsid w:val="00741552"/>
    <w:rsid w:val="00742680"/>
    <w:rsid w:val="00743BA8"/>
    <w:rsid w:val="00744004"/>
    <w:rsid w:val="00747DD6"/>
    <w:rsid w:val="007551E2"/>
    <w:rsid w:val="0075533C"/>
    <w:rsid w:val="00755A53"/>
    <w:rsid w:val="00757581"/>
    <w:rsid w:val="007602F5"/>
    <w:rsid w:val="00760D36"/>
    <w:rsid w:val="007611A0"/>
    <w:rsid w:val="007738EB"/>
    <w:rsid w:val="00773E54"/>
    <w:rsid w:val="00774E34"/>
    <w:rsid w:val="00775D8D"/>
    <w:rsid w:val="0078489D"/>
    <w:rsid w:val="00787240"/>
    <w:rsid w:val="00787565"/>
    <w:rsid w:val="00787688"/>
    <w:rsid w:val="00787C2C"/>
    <w:rsid w:val="007902CA"/>
    <w:rsid w:val="007909CB"/>
    <w:rsid w:val="007935E6"/>
    <w:rsid w:val="00793684"/>
    <w:rsid w:val="00796D3F"/>
    <w:rsid w:val="007A1683"/>
    <w:rsid w:val="007A3DC0"/>
    <w:rsid w:val="007A55A6"/>
    <w:rsid w:val="007A5C12"/>
    <w:rsid w:val="007A7BEF"/>
    <w:rsid w:val="007A7CB0"/>
    <w:rsid w:val="007B68A3"/>
    <w:rsid w:val="007C2541"/>
    <w:rsid w:val="007D66A8"/>
    <w:rsid w:val="007E003F"/>
    <w:rsid w:val="007E0BEE"/>
    <w:rsid w:val="007E5F07"/>
    <w:rsid w:val="007F0CF8"/>
    <w:rsid w:val="007F4647"/>
    <w:rsid w:val="007F62CB"/>
    <w:rsid w:val="007F7A33"/>
    <w:rsid w:val="00801B64"/>
    <w:rsid w:val="00805335"/>
    <w:rsid w:val="0080751D"/>
    <w:rsid w:val="00813190"/>
    <w:rsid w:val="008142EC"/>
    <w:rsid w:val="008164F2"/>
    <w:rsid w:val="00816DA5"/>
    <w:rsid w:val="00820716"/>
    <w:rsid w:val="00821395"/>
    <w:rsid w:val="0082297E"/>
    <w:rsid w:val="00822B68"/>
    <w:rsid w:val="008257C8"/>
    <w:rsid w:val="00826AF3"/>
    <w:rsid w:val="00830E26"/>
    <w:rsid w:val="0083136C"/>
    <w:rsid w:val="00833D15"/>
    <w:rsid w:val="00842874"/>
    <w:rsid w:val="00843576"/>
    <w:rsid w:val="00843B64"/>
    <w:rsid w:val="008473F4"/>
    <w:rsid w:val="008478FC"/>
    <w:rsid w:val="00851756"/>
    <w:rsid w:val="00851C51"/>
    <w:rsid w:val="008526EE"/>
    <w:rsid w:val="00856CDB"/>
    <w:rsid w:val="008616A5"/>
    <w:rsid w:val="0086561B"/>
    <w:rsid w:val="00867A15"/>
    <w:rsid w:val="00867BFF"/>
    <w:rsid w:val="00871542"/>
    <w:rsid w:val="00871E08"/>
    <w:rsid w:val="00872BF6"/>
    <w:rsid w:val="00873160"/>
    <w:rsid w:val="008766F2"/>
    <w:rsid w:val="0088480A"/>
    <w:rsid w:val="0088757A"/>
    <w:rsid w:val="0089431B"/>
    <w:rsid w:val="00894479"/>
    <w:rsid w:val="00894DA2"/>
    <w:rsid w:val="00895668"/>
    <w:rsid w:val="008957DD"/>
    <w:rsid w:val="00897D98"/>
    <w:rsid w:val="008A0CB5"/>
    <w:rsid w:val="008A2570"/>
    <w:rsid w:val="008A2F23"/>
    <w:rsid w:val="008A6DF2"/>
    <w:rsid w:val="008A7807"/>
    <w:rsid w:val="008A78D7"/>
    <w:rsid w:val="008B0CED"/>
    <w:rsid w:val="008B4CC9"/>
    <w:rsid w:val="008B6ECC"/>
    <w:rsid w:val="008C34A4"/>
    <w:rsid w:val="008C5EE0"/>
    <w:rsid w:val="008C5FFF"/>
    <w:rsid w:val="008D1818"/>
    <w:rsid w:val="008D20E4"/>
    <w:rsid w:val="008D46F5"/>
    <w:rsid w:val="008D4EF1"/>
    <w:rsid w:val="008D5438"/>
    <w:rsid w:val="008D75E4"/>
    <w:rsid w:val="008D7C99"/>
    <w:rsid w:val="008E0FCB"/>
    <w:rsid w:val="008E14EB"/>
    <w:rsid w:val="008E6ECA"/>
    <w:rsid w:val="008E75C5"/>
    <w:rsid w:val="008F2112"/>
    <w:rsid w:val="008F6DFE"/>
    <w:rsid w:val="009008EA"/>
    <w:rsid w:val="009021DF"/>
    <w:rsid w:val="009027BB"/>
    <w:rsid w:val="0090529F"/>
    <w:rsid w:val="00905742"/>
    <w:rsid w:val="00907130"/>
    <w:rsid w:val="009123F8"/>
    <w:rsid w:val="00917EEE"/>
    <w:rsid w:val="0092178C"/>
    <w:rsid w:val="00921D40"/>
    <w:rsid w:val="00922BA1"/>
    <w:rsid w:val="00923B17"/>
    <w:rsid w:val="00926C32"/>
    <w:rsid w:val="00930B88"/>
    <w:rsid w:val="00934554"/>
    <w:rsid w:val="00940DCC"/>
    <w:rsid w:val="0094179A"/>
    <w:rsid w:val="00942112"/>
    <w:rsid w:val="00942F46"/>
    <w:rsid w:val="0094459E"/>
    <w:rsid w:val="00944DBC"/>
    <w:rsid w:val="0094677B"/>
    <w:rsid w:val="00950977"/>
    <w:rsid w:val="00951592"/>
    <w:rsid w:val="00951A7B"/>
    <w:rsid w:val="0095255F"/>
    <w:rsid w:val="009541FC"/>
    <w:rsid w:val="009559B3"/>
    <w:rsid w:val="009564A6"/>
    <w:rsid w:val="00960425"/>
    <w:rsid w:val="00966A53"/>
    <w:rsid w:val="00967621"/>
    <w:rsid w:val="00967E6A"/>
    <w:rsid w:val="00973A33"/>
    <w:rsid w:val="009832A2"/>
    <w:rsid w:val="0098763B"/>
    <w:rsid w:val="009907B9"/>
    <w:rsid w:val="00990918"/>
    <w:rsid w:val="00991AFA"/>
    <w:rsid w:val="00993022"/>
    <w:rsid w:val="009A3A83"/>
    <w:rsid w:val="009B0D04"/>
    <w:rsid w:val="009B1C44"/>
    <w:rsid w:val="009B30FD"/>
    <w:rsid w:val="009B391A"/>
    <w:rsid w:val="009B4A0F"/>
    <w:rsid w:val="009B5C7A"/>
    <w:rsid w:val="009C11D2"/>
    <w:rsid w:val="009C1FDD"/>
    <w:rsid w:val="009C302C"/>
    <w:rsid w:val="009C3362"/>
    <w:rsid w:val="009C3F2C"/>
    <w:rsid w:val="009C6C70"/>
    <w:rsid w:val="009C7B0A"/>
    <w:rsid w:val="009D0B63"/>
    <w:rsid w:val="009D14C8"/>
    <w:rsid w:val="009D197D"/>
    <w:rsid w:val="009D32CE"/>
    <w:rsid w:val="009D3527"/>
    <w:rsid w:val="009D4237"/>
    <w:rsid w:val="009D5CB8"/>
    <w:rsid w:val="009E307E"/>
    <w:rsid w:val="009F0A2A"/>
    <w:rsid w:val="009F63B9"/>
    <w:rsid w:val="009F7611"/>
    <w:rsid w:val="00A0132D"/>
    <w:rsid w:val="00A018C0"/>
    <w:rsid w:val="00A056B5"/>
    <w:rsid w:val="00A07870"/>
    <w:rsid w:val="00A07C54"/>
    <w:rsid w:val="00A07F19"/>
    <w:rsid w:val="00A10BE8"/>
    <w:rsid w:val="00A1348D"/>
    <w:rsid w:val="00A13C99"/>
    <w:rsid w:val="00A17EC4"/>
    <w:rsid w:val="00A232EE"/>
    <w:rsid w:val="00A243E5"/>
    <w:rsid w:val="00A2589A"/>
    <w:rsid w:val="00A345E1"/>
    <w:rsid w:val="00A34E6F"/>
    <w:rsid w:val="00A37625"/>
    <w:rsid w:val="00A414F6"/>
    <w:rsid w:val="00A4175F"/>
    <w:rsid w:val="00A43A67"/>
    <w:rsid w:val="00A44411"/>
    <w:rsid w:val="00A46619"/>
    <w:rsid w:val="00A469FA"/>
    <w:rsid w:val="00A513A5"/>
    <w:rsid w:val="00A53662"/>
    <w:rsid w:val="00A54CB9"/>
    <w:rsid w:val="00A55B01"/>
    <w:rsid w:val="00A55DA3"/>
    <w:rsid w:val="00A56158"/>
    <w:rsid w:val="00A56B5B"/>
    <w:rsid w:val="00A603FF"/>
    <w:rsid w:val="00A619B6"/>
    <w:rsid w:val="00A61A5E"/>
    <w:rsid w:val="00A648CA"/>
    <w:rsid w:val="00A657DD"/>
    <w:rsid w:val="00A65D0C"/>
    <w:rsid w:val="00A666A6"/>
    <w:rsid w:val="00A675FD"/>
    <w:rsid w:val="00A72437"/>
    <w:rsid w:val="00A752FE"/>
    <w:rsid w:val="00A8048B"/>
    <w:rsid w:val="00A80611"/>
    <w:rsid w:val="00A84544"/>
    <w:rsid w:val="00A85846"/>
    <w:rsid w:val="00A9094A"/>
    <w:rsid w:val="00A91D38"/>
    <w:rsid w:val="00A92050"/>
    <w:rsid w:val="00A95BA5"/>
    <w:rsid w:val="00AA0040"/>
    <w:rsid w:val="00AA0FD7"/>
    <w:rsid w:val="00AA2EC0"/>
    <w:rsid w:val="00AA5BF4"/>
    <w:rsid w:val="00AB102F"/>
    <w:rsid w:val="00AB5340"/>
    <w:rsid w:val="00AB7FA3"/>
    <w:rsid w:val="00AC0A89"/>
    <w:rsid w:val="00AC62F0"/>
    <w:rsid w:val="00AC7252"/>
    <w:rsid w:val="00AC7C96"/>
    <w:rsid w:val="00AD1D99"/>
    <w:rsid w:val="00AD2D76"/>
    <w:rsid w:val="00AD4326"/>
    <w:rsid w:val="00AE237D"/>
    <w:rsid w:val="00AE38EB"/>
    <w:rsid w:val="00AE502A"/>
    <w:rsid w:val="00AE6E15"/>
    <w:rsid w:val="00AF0010"/>
    <w:rsid w:val="00AF2C1F"/>
    <w:rsid w:val="00AF469F"/>
    <w:rsid w:val="00AF5E0F"/>
    <w:rsid w:val="00AF7A9F"/>
    <w:rsid w:val="00AF7C07"/>
    <w:rsid w:val="00B037BB"/>
    <w:rsid w:val="00B03E98"/>
    <w:rsid w:val="00B05B26"/>
    <w:rsid w:val="00B06C64"/>
    <w:rsid w:val="00B07B40"/>
    <w:rsid w:val="00B1015A"/>
    <w:rsid w:val="00B10966"/>
    <w:rsid w:val="00B11CAC"/>
    <w:rsid w:val="00B1436A"/>
    <w:rsid w:val="00B15A29"/>
    <w:rsid w:val="00B17A26"/>
    <w:rsid w:val="00B22C93"/>
    <w:rsid w:val="00B257A4"/>
    <w:rsid w:val="00B27589"/>
    <w:rsid w:val="00B32D6E"/>
    <w:rsid w:val="00B32FC9"/>
    <w:rsid w:val="00B3701C"/>
    <w:rsid w:val="00B40307"/>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864EB"/>
    <w:rsid w:val="00B90242"/>
    <w:rsid w:val="00B91EE1"/>
    <w:rsid w:val="00B94602"/>
    <w:rsid w:val="00BA0090"/>
    <w:rsid w:val="00BA1309"/>
    <w:rsid w:val="00BA1A67"/>
    <w:rsid w:val="00BA4A23"/>
    <w:rsid w:val="00BA523B"/>
    <w:rsid w:val="00BA6A80"/>
    <w:rsid w:val="00BB3A5D"/>
    <w:rsid w:val="00BB4ABB"/>
    <w:rsid w:val="00BB6CE3"/>
    <w:rsid w:val="00BB71FB"/>
    <w:rsid w:val="00BC041F"/>
    <w:rsid w:val="00BC5810"/>
    <w:rsid w:val="00BD3145"/>
    <w:rsid w:val="00BD506D"/>
    <w:rsid w:val="00BE5B5F"/>
    <w:rsid w:val="00BE71BE"/>
    <w:rsid w:val="00BE7285"/>
    <w:rsid w:val="00BE7993"/>
    <w:rsid w:val="00BF03F9"/>
    <w:rsid w:val="00BF56E1"/>
    <w:rsid w:val="00BF5992"/>
    <w:rsid w:val="00BF787D"/>
    <w:rsid w:val="00C027FF"/>
    <w:rsid w:val="00C07D32"/>
    <w:rsid w:val="00C116AA"/>
    <w:rsid w:val="00C12FD1"/>
    <w:rsid w:val="00C139F1"/>
    <w:rsid w:val="00C14842"/>
    <w:rsid w:val="00C162F2"/>
    <w:rsid w:val="00C168A7"/>
    <w:rsid w:val="00C172E3"/>
    <w:rsid w:val="00C20613"/>
    <w:rsid w:val="00C20A2D"/>
    <w:rsid w:val="00C26F55"/>
    <w:rsid w:val="00C27DCA"/>
    <w:rsid w:val="00C30C63"/>
    <w:rsid w:val="00C30EB9"/>
    <w:rsid w:val="00C30FF3"/>
    <w:rsid w:val="00C36B8B"/>
    <w:rsid w:val="00C415C1"/>
    <w:rsid w:val="00C4766A"/>
    <w:rsid w:val="00C47DBF"/>
    <w:rsid w:val="00C50823"/>
    <w:rsid w:val="00C543FE"/>
    <w:rsid w:val="00C552FF"/>
    <w:rsid w:val="00C558DA"/>
    <w:rsid w:val="00C55AF3"/>
    <w:rsid w:val="00C57E56"/>
    <w:rsid w:val="00C6062B"/>
    <w:rsid w:val="00C646F7"/>
    <w:rsid w:val="00C649ED"/>
    <w:rsid w:val="00C65D59"/>
    <w:rsid w:val="00C67581"/>
    <w:rsid w:val="00C6769E"/>
    <w:rsid w:val="00C67821"/>
    <w:rsid w:val="00C71970"/>
    <w:rsid w:val="00C724EE"/>
    <w:rsid w:val="00C75781"/>
    <w:rsid w:val="00C771A9"/>
    <w:rsid w:val="00C80D5A"/>
    <w:rsid w:val="00C8293F"/>
    <w:rsid w:val="00C83220"/>
    <w:rsid w:val="00C84759"/>
    <w:rsid w:val="00C854BD"/>
    <w:rsid w:val="00C870D8"/>
    <w:rsid w:val="00C87AAA"/>
    <w:rsid w:val="00C87EEF"/>
    <w:rsid w:val="00C93753"/>
    <w:rsid w:val="00CA221C"/>
    <w:rsid w:val="00CA2EA3"/>
    <w:rsid w:val="00CA5CA9"/>
    <w:rsid w:val="00CA6C7F"/>
    <w:rsid w:val="00CA7DA7"/>
    <w:rsid w:val="00CB6B35"/>
    <w:rsid w:val="00CB71A3"/>
    <w:rsid w:val="00CC0FC7"/>
    <w:rsid w:val="00CC10A6"/>
    <w:rsid w:val="00CC1FDD"/>
    <w:rsid w:val="00CC7142"/>
    <w:rsid w:val="00CD11DF"/>
    <w:rsid w:val="00CD2011"/>
    <w:rsid w:val="00CD46C5"/>
    <w:rsid w:val="00CD5EB8"/>
    <w:rsid w:val="00CD7044"/>
    <w:rsid w:val="00CE08B9"/>
    <w:rsid w:val="00CE524C"/>
    <w:rsid w:val="00CF141F"/>
    <w:rsid w:val="00CF4777"/>
    <w:rsid w:val="00CF65C8"/>
    <w:rsid w:val="00D013F5"/>
    <w:rsid w:val="00D025FD"/>
    <w:rsid w:val="00D02DC8"/>
    <w:rsid w:val="00D05E3F"/>
    <w:rsid w:val="00D067BB"/>
    <w:rsid w:val="00D1226D"/>
    <w:rsid w:val="00D1352A"/>
    <w:rsid w:val="00D150B9"/>
    <w:rsid w:val="00D15EC4"/>
    <w:rsid w:val="00D169AF"/>
    <w:rsid w:val="00D17B2F"/>
    <w:rsid w:val="00D25249"/>
    <w:rsid w:val="00D25538"/>
    <w:rsid w:val="00D317E9"/>
    <w:rsid w:val="00D36596"/>
    <w:rsid w:val="00D36E00"/>
    <w:rsid w:val="00D37EBA"/>
    <w:rsid w:val="00D411B5"/>
    <w:rsid w:val="00D4234C"/>
    <w:rsid w:val="00D44172"/>
    <w:rsid w:val="00D44DFC"/>
    <w:rsid w:val="00D46849"/>
    <w:rsid w:val="00D47BE3"/>
    <w:rsid w:val="00D63B8C"/>
    <w:rsid w:val="00D651E4"/>
    <w:rsid w:val="00D65AD2"/>
    <w:rsid w:val="00D66C2E"/>
    <w:rsid w:val="00D739CC"/>
    <w:rsid w:val="00D76C8E"/>
    <w:rsid w:val="00D77046"/>
    <w:rsid w:val="00D8093D"/>
    <w:rsid w:val="00D8108C"/>
    <w:rsid w:val="00D842AE"/>
    <w:rsid w:val="00D90617"/>
    <w:rsid w:val="00D90D32"/>
    <w:rsid w:val="00D9211C"/>
    <w:rsid w:val="00D92DE0"/>
    <w:rsid w:val="00D92FEF"/>
    <w:rsid w:val="00D93A0F"/>
    <w:rsid w:val="00D94C06"/>
    <w:rsid w:val="00D9579D"/>
    <w:rsid w:val="00DA1BCA"/>
    <w:rsid w:val="00DA4A45"/>
    <w:rsid w:val="00DB1859"/>
    <w:rsid w:val="00DB34E0"/>
    <w:rsid w:val="00DB5925"/>
    <w:rsid w:val="00DC46FF"/>
    <w:rsid w:val="00DC5254"/>
    <w:rsid w:val="00DC569D"/>
    <w:rsid w:val="00DC5AB5"/>
    <w:rsid w:val="00DD0B5A"/>
    <w:rsid w:val="00DD1A4F"/>
    <w:rsid w:val="00DD1EC1"/>
    <w:rsid w:val="00DD3107"/>
    <w:rsid w:val="00DD3C25"/>
    <w:rsid w:val="00DD7037"/>
    <w:rsid w:val="00DD7C2C"/>
    <w:rsid w:val="00DE3746"/>
    <w:rsid w:val="00DE5BDA"/>
    <w:rsid w:val="00DF2D62"/>
    <w:rsid w:val="00DF433C"/>
    <w:rsid w:val="00E0035A"/>
    <w:rsid w:val="00E02986"/>
    <w:rsid w:val="00E06797"/>
    <w:rsid w:val="00E1265B"/>
    <w:rsid w:val="00E13B48"/>
    <w:rsid w:val="00E1404F"/>
    <w:rsid w:val="00E2042D"/>
    <w:rsid w:val="00E2142C"/>
    <w:rsid w:val="00E21C83"/>
    <w:rsid w:val="00E24ADA"/>
    <w:rsid w:val="00E32F59"/>
    <w:rsid w:val="00E35AFA"/>
    <w:rsid w:val="00E41908"/>
    <w:rsid w:val="00E46D9A"/>
    <w:rsid w:val="00E565FF"/>
    <w:rsid w:val="00E6269A"/>
    <w:rsid w:val="00E62E4D"/>
    <w:rsid w:val="00E65388"/>
    <w:rsid w:val="00E662CB"/>
    <w:rsid w:val="00E71382"/>
    <w:rsid w:val="00E74C25"/>
    <w:rsid w:val="00E75318"/>
    <w:rsid w:val="00E76752"/>
    <w:rsid w:val="00E7741D"/>
    <w:rsid w:val="00E808CD"/>
    <w:rsid w:val="00E82928"/>
    <w:rsid w:val="00E8348F"/>
    <w:rsid w:val="00E85B7D"/>
    <w:rsid w:val="00E90419"/>
    <w:rsid w:val="00E9121B"/>
    <w:rsid w:val="00E9302E"/>
    <w:rsid w:val="00E94F86"/>
    <w:rsid w:val="00E9582E"/>
    <w:rsid w:val="00E96942"/>
    <w:rsid w:val="00E976AB"/>
    <w:rsid w:val="00EA006D"/>
    <w:rsid w:val="00EA0AE2"/>
    <w:rsid w:val="00EA1159"/>
    <w:rsid w:val="00EA39E5"/>
    <w:rsid w:val="00EA5169"/>
    <w:rsid w:val="00EA57A3"/>
    <w:rsid w:val="00EC20B8"/>
    <w:rsid w:val="00EC2813"/>
    <w:rsid w:val="00EC4197"/>
    <w:rsid w:val="00EC4EFF"/>
    <w:rsid w:val="00EC5A46"/>
    <w:rsid w:val="00EC6114"/>
    <w:rsid w:val="00EC63E2"/>
    <w:rsid w:val="00EC73B7"/>
    <w:rsid w:val="00EC7AAA"/>
    <w:rsid w:val="00ED366A"/>
    <w:rsid w:val="00ED5FDE"/>
    <w:rsid w:val="00ED6BB7"/>
    <w:rsid w:val="00EE1723"/>
    <w:rsid w:val="00EF19FD"/>
    <w:rsid w:val="00EF22B3"/>
    <w:rsid w:val="00EF5D53"/>
    <w:rsid w:val="00EF61AB"/>
    <w:rsid w:val="00EF6D38"/>
    <w:rsid w:val="00F01A22"/>
    <w:rsid w:val="00F03A55"/>
    <w:rsid w:val="00F03B69"/>
    <w:rsid w:val="00F06958"/>
    <w:rsid w:val="00F07A50"/>
    <w:rsid w:val="00F113DA"/>
    <w:rsid w:val="00F12DA4"/>
    <w:rsid w:val="00F146AF"/>
    <w:rsid w:val="00F1495C"/>
    <w:rsid w:val="00F1562D"/>
    <w:rsid w:val="00F1712F"/>
    <w:rsid w:val="00F22A8E"/>
    <w:rsid w:val="00F23CB6"/>
    <w:rsid w:val="00F266FC"/>
    <w:rsid w:val="00F27C50"/>
    <w:rsid w:val="00F3037A"/>
    <w:rsid w:val="00F3465A"/>
    <w:rsid w:val="00F37DC8"/>
    <w:rsid w:val="00F439B3"/>
    <w:rsid w:val="00F5416A"/>
    <w:rsid w:val="00F55458"/>
    <w:rsid w:val="00F650C3"/>
    <w:rsid w:val="00F65D85"/>
    <w:rsid w:val="00F6700B"/>
    <w:rsid w:val="00F700A9"/>
    <w:rsid w:val="00F742AB"/>
    <w:rsid w:val="00F769FD"/>
    <w:rsid w:val="00F8091E"/>
    <w:rsid w:val="00F83855"/>
    <w:rsid w:val="00F8615C"/>
    <w:rsid w:val="00F8673E"/>
    <w:rsid w:val="00F9558F"/>
    <w:rsid w:val="00F96714"/>
    <w:rsid w:val="00F969E5"/>
    <w:rsid w:val="00FA1D9B"/>
    <w:rsid w:val="00FA3168"/>
    <w:rsid w:val="00FA4972"/>
    <w:rsid w:val="00FA6617"/>
    <w:rsid w:val="00FA6BB0"/>
    <w:rsid w:val="00FA7418"/>
    <w:rsid w:val="00FB1150"/>
    <w:rsid w:val="00FB2DBD"/>
    <w:rsid w:val="00FB53D9"/>
    <w:rsid w:val="00FC2C30"/>
    <w:rsid w:val="00FC476E"/>
    <w:rsid w:val="00FC6DA0"/>
    <w:rsid w:val="00FD48DF"/>
    <w:rsid w:val="00FD5860"/>
    <w:rsid w:val="00FE12D0"/>
    <w:rsid w:val="00FE183A"/>
    <w:rsid w:val="00FE2D94"/>
    <w:rsid w:val="00FE352D"/>
    <w:rsid w:val="00FE40EB"/>
    <w:rsid w:val="00FE4D02"/>
    <w:rsid w:val="00FE7D62"/>
    <w:rsid w:val="00FF08D3"/>
    <w:rsid w:val="00FF122F"/>
    <w:rsid w:val="00FF1554"/>
    <w:rsid w:val="00FF1CBC"/>
    <w:rsid w:val="00FF2836"/>
    <w:rsid w:val="00FF3559"/>
    <w:rsid w:val="00FF3819"/>
    <w:rsid w:val="00FF62FF"/>
    <w:rsid w:val="00FF6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5BAC1F"/>
  <w15:docId w15:val="{3C1988F0-C120-4409-9216-32FB027C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C14842"/>
    <w:pPr>
      <w:keepNext/>
      <w:tabs>
        <w:tab w:val="clear" w:pos="1247"/>
        <w:tab w:val="clear" w:pos="1814"/>
        <w:tab w:val="clear" w:pos="2381"/>
        <w:tab w:val="clear" w:pos="2948"/>
        <w:tab w:val="clear" w:pos="3515"/>
      </w:tabs>
      <w:spacing w:after="120"/>
      <w:ind w:left="1247" w:right="284"/>
      <w:outlineLvl w:val="0"/>
    </w:pPr>
    <w:rPr>
      <w:b/>
      <w:sz w:val="24"/>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uiPriority w:val="39"/>
    <w:rsid w:val="00FF2836"/>
    <w:pPr>
      <w:tabs>
        <w:tab w:val="clear" w:pos="1247"/>
        <w:tab w:val="clear" w:pos="1814"/>
        <w:tab w:val="clear" w:pos="2381"/>
        <w:tab w:val="clear" w:pos="2948"/>
        <w:tab w:val="clear" w:pos="3515"/>
        <w:tab w:val="clear" w:pos="4082"/>
        <w:tab w:val="right" w:leader="dot" w:pos="9486"/>
      </w:tabs>
      <w:spacing w:after="120"/>
      <w:ind w:left="2098" w:hanging="851"/>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numberChar">
    <w:name w:val="Normal_number Char"/>
    <w:link w:val="Normalnumber"/>
    <w:locked/>
    <w:rsid w:val="00196D40"/>
    <w:rPr>
      <w:lang w:eastAsia="en-US"/>
    </w:rPr>
  </w:style>
  <w:style w:type="character" w:customStyle="1" w:styleId="Normal-poolChar">
    <w:name w:val="Normal-pool Char"/>
    <w:link w:val="Normal-pool"/>
    <w:rsid w:val="00550465"/>
    <w:rPr>
      <w:lang w:eastAsia="en-US"/>
    </w:rPr>
  </w:style>
  <w:style w:type="character" w:customStyle="1" w:styleId="DeltaViewInsertion">
    <w:name w:val="DeltaView Insertion"/>
    <w:uiPriority w:val="99"/>
    <w:rsid w:val="009027BB"/>
    <w:rPr>
      <w:color w:val="0000FF"/>
      <w:u w:val="double"/>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9027BB"/>
    <w:rPr>
      <w:lang w:eastAsia="en-US"/>
    </w:rPr>
  </w:style>
  <w:style w:type="character" w:customStyle="1" w:styleId="NormalNonumberChar">
    <w:name w:val="Normal_No_number Char"/>
    <w:link w:val="NormalNonumber"/>
    <w:locked/>
    <w:rsid w:val="009027BB"/>
    <w:rPr>
      <w:lang w:eastAsia="en-US"/>
    </w:rPr>
  </w:style>
  <w:style w:type="paragraph" w:customStyle="1" w:styleId="Corps">
    <w:name w:val="Corps"/>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Text">
    <w:name w:val="Text"/>
    <w:rsid w:val="00F0695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C65D59"/>
    <w:pPr>
      <w:tabs>
        <w:tab w:val="clear" w:pos="1247"/>
        <w:tab w:val="clear" w:pos="1814"/>
        <w:tab w:val="clear" w:pos="2381"/>
        <w:tab w:val="clear" w:pos="2948"/>
        <w:tab w:val="clear" w:pos="3515"/>
      </w:tabs>
      <w:spacing w:before="120" w:after="160" w:line="240" w:lineRule="exact"/>
    </w:pPr>
    <w:rPr>
      <w:szCs w:val="18"/>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099">
      <w:bodyDiv w:val="1"/>
      <w:marLeft w:val="0"/>
      <w:marRight w:val="0"/>
      <w:marTop w:val="0"/>
      <w:marBottom w:val="0"/>
      <w:divBdr>
        <w:top w:val="none" w:sz="0" w:space="0" w:color="auto"/>
        <w:left w:val="none" w:sz="0" w:space="0" w:color="auto"/>
        <w:bottom w:val="none" w:sz="0" w:space="0" w:color="auto"/>
        <w:right w:val="none" w:sz="0" w:space="0" w:color="auto"/>
      </w:divBdr>
    </w:div>
    <w:div w:id="206383136">
      <w:bodyDiv w:val="1"/>
      <w:marLeft w:val="0"/>
      <w:marRight w:val="0"/>
      <w:marTop w:val="0"/>
      <w:marBottom w:val="0"/>
      <w:divBdr>
        <w:top w:val="none" w:sz="0" w:space="0" w:color="auto"/>
        <w:left w:val="none" w:sz="0" w:space="0" w:color="auto"/>
        <w:bottom w:val="none" w:sz="0" w:space="0" w:color="auto"/>
        <w:right w:val="none" w:sz="0" w:space="0" w:color="auto"/>
      </w:divBdr>
    </w:div>
    <w:div w:id="3451368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2626949">
      <w:bodyDiv w:val="1"/>
      <w:marLeft w:val="0"/>
      <w:marRight w:val="0"/>
      <w:marTop w:val="0"/>
      <w:marBottom w:val="0"/>
      <w:divBdr>
        <w:top w:val="none" w:sz="0" w:space="0" w:color="auto"/>
        <w:left w:val="none" w:sz="0" w:space="0" w:color="auto"/>
        <w:bottom w:val="none" w:sz="0" w:space="0" w:color="auto"/>
        <w:right w:val="none" w:sz="0" w:space="0" w:color="auto"/>
      </w:divBdr>
    </w:div>
    <w:div w:id="446047059">
      <w:bodyDiv w:val="1"/>
      <w:marLeft w:val="0"/>
      <w:marRight w:val="0"/>
      <w:marTop w:val="0"/>
      <w:marBottom w:val="0"/>
      <w:divBdr>
        <w:top w:val="none" w:sz="0" w:space="0" w:color="auto"/>
        <w:left w:val="none" w:sz="0" w:space="0" w:color="auto"/>
        <w:bottom w:val="none" w:sz="0" w:space="0" w:color="auto"/>
        <w:right w:val="none" w:sz="0" w:space="0" w:color="auto"/>
      </w:divBdr>
    </w:div>
    <w:div w:id="763113989">
      <w:bodyDiv w:val="1"/>
      <w:marLeft w:val="0"/>
      <w:marRight w:val="0"/>
      <w:marTop w:val="0"/>
      <w:marBottom w:val="0"/>
      <w:divBdr>
        <w:top w:val="none" w:sz="0" w:space="0" w:color="auto"/>
        <w:left w:val="none" w:sz="0" w:space="0" w:color="auto"/>
        <w:bottom w:val="none" w:sz="0" w:space="0" w:color="auto"/>
        <w:right w:val="none" w:sz="0" w:space="0" w:color="auto"/>
      </w:divBdr>
    </w:div>
    <w:div w:id="866330581">
      <w:bodyDiv w:val="1"/>
      <w:marLeft w:val="0"/>
      <w:marRight w:val="0"/>
      <w:marTop w:val="0"/>
      <w:marBottom w:val="0"/>
      <w:divBdr>
        <w:top w:val="none" w:sz="0" w:space="0" w:color="auto"/>
        <w:left w:val="none" w:sz="0" w:space="0" w:color="auto"/>
        <w:bottom w:val="none" w:sz="0" w:space="0" w:color="auto"/>
        <w:right w:val="none" w:sz="0" w:space="0" w:color="auto"/>
      </w:divBdr>
    </w:div>
    <w:div w:id="875968973">
      <w:bodyDiv w:val="1"/>
      <w:marLeft w:val="0"/>
      <w:marRight w:val="0"/>
      <w:marTop w:val="0"/>
      <w:marBottom w:val="0"/>
      <w:divBdr>
        <w:top w:val="none" w:sz="0" w:space="0" w:color="auto"/>
        <w:left w:val="none" w:sz="0" w:space="0" w:color="auto"/>
        <w:bottom w:val="none" w:sz="0" w:space="0" w:color="auto"/>
        <w:right w:val="none" w:sz="0" w:space="0" w:color="auto"/>
      </w:divBdr>
    </w:div>
    <w:div w:id="924074745">
      <w:bodyDiv w:val="1"/>
      <w:marLeft w:val="0"/>
      <w:marRight w:val="0"/>
      <w:marTop w:val="0"/>
      <w:marBottom w:val="0"/>
      <w:divBdr>
        <w:top w:val="none" w:sz="0" w:space="0" w:color="auto"/>
        <w:left w:val="none" w:sz="0" w:space="0" w:color="auto"/>
        <w:bottom w:val="none" w:sz="0" w:space="0" w:color="auto"/>
        <w:right w:val="none" w:sz="0" w:space="0" w:color="auto"/>
      </w:divBdr>
    </w:div>
    <w:div w:id="96334561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79161828">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594052894">
      <w:bodyDiv w:val="1"/>
      <w:marLeft w:val="0"/>
      <w:marRight w:val="0"/>
      <w:marTop w:val="0"/>
      <w:marBottom w:val="0"/>
      <w:divBdr>
        <w:top w:val="none" w:sz="0" w:space="0" w:color="auto"/>
        <w:left w:val="none" w:sz="0" w:space="0" w:color="auto"/>
        <w:bottom w:val="none" w:sz="0" w:space="0" w:color="auto"/>
        <w:right w:val="none" w:sz="0" w:space="0" w:color="auto"/>
      </w:divBdr>
    </w:div>
    <w:div w:id="21068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8D88-52E7-4DBF-9B01-3465EE9863CC}">
  <ds:schemaRefs>
    <ds:schemaRef ds:uri="http://schemas.microsoft.com/sharepoint/v3/contenttype/forms"/>
  </ds:schemaRefs>
</ds:datastoreItem>
</file>

<file path=customXml/itemProps2.xml><?xml version="1.0" encoding="utf-8"?>
<ds:datastoreItem xmlns:ds="http://schemas.openxmlformats.org/officeDocument/2006/customXml" ds:itemID="{8025E42D-9202-4F86-8E41-D12EBF4981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71FB06-120E-4366-A073-D48BF31BC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7B56B-A836-43FC-A831-97C7A3A5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1362</Words>
  <Characters>7770</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5</cp:revision>
  <cp:lastPrinted>2020-11-09T11:48:00Z</cp:lastPrinted>
  <dcterms:created xsi:type="dcterms:W3CDTF">2020-11-06T10:45:00Z</dcterms:created>
  <dcterms:modified xsi:type="dcterms:W3CDTF">2020-11-09T11:48:00Z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