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8"/>
        <w:gridCol w:w="4643"/>
        <w:gridCol w:w="3335"/>
      </w:tblGrid>
      <w:tr w:rsidR="00032E4E" w:rsidRPr="008E4D6C" w14:paraId="4B9F0F9B" w14:textId="77777777" w:rsidTr="003D22DE">
        <w:trPr>
          <w:cantSplit/>
          <w:trHeight w:val="850"/>
          <w:jc w:val="right"/>
        </w:trPr>
        <w:tc>
          <w:tcPr>
            <w:tcW w:w="1518" w:type="dxa"/>
          </w:tcPr>
          <w:p w14:paraId="2A9B9F9D" w14:textId="5D52BB23" w:rsidR="00032E4E" w:rsidRPr="008E4D6C" w:rsidRDefault="00032E4E" w:rsidP="00023DA9">
            <w:pPr>
              <w:rPr>
                <w:rFonts w:ascii="Univers" w:hAnsi="Univers"/>
                <w:b/>
                <w:sz w:val="27"/>
                <w:szCs w:val="27"/>
              </w:rPr>
            </w:pPr>
            <w:r w:rsidRPr="008E4D6C">
              <w:rPr>
                <w:rFonts w:ascii="Arial" w:hAnsi="Arial" w:cs="Arial"/>
                <w:b/>
                <w:sz w:val="27"/>
                <w:szCs w:val="27"/>
              </w:rPr>
              <w:t>NATIONS</w:t>
            </w:r>
            <w:r w:rsidR="00FD27BC" w:rsidRPr="008E4D6C">
              <w:rPr>
                <w:rFonts w:ascii="Arial" w:hAnsi="Arial" w:cs="Arial"/>
                <w:b/>
                <w:sz w:val="27"/>
                <w:szCs w:val="27"/>
              </w:rPr>
              <w:br/>
              <w:t>UNIES</w:t>
            </w:r>
          </w:p>
        </w:tc>
        <w:tc>
          <w:tcPr>
            <w:tcW w:w="4643" w:type="dxa"/>
          </w:tcPr>
          <w:p w14:paraId="2F47229A" w14:textId="77777777" w:rsidR="00032E4E" w:rsidRPr="008E4D6C" w:rsidRDefault="00032E4E" w:rsidP="00023DA9">
            <w:pPr>
              <w:rPr>
                <w:rFonts w:ascii="Univers" w:hAnsi="Univers"/>
                <w:b/>
                <w:sz w:val="27"/>
                <w:szCs w:val="27"/>
              </w:rPr>
            </w:pPr>
          </w:p>
        </w:tc>
        <w:tc>
          <w:tcPr>
            <w:tcW w:w="3335" w:type="dxa"/>
          </w:tcPr>
          <w:p w14:paraId="57073C3F" w14:textId="77777777" w:rsidR="00032E4E" w:rsidRPr="008E4D6C" w:rsidRDefault="00787688" w:rsidP="00023DA9">
            <w:pPr>
              <w:jc w:val="right"/>
              <w:rPr>
                <w:rFonts w:ascii="Arial" w:hAnsi="Arial" w:cs="Arial"/>
                <w:b/>
                <w:sz w:val="64"/>
                <w:szCs w:val="64"/>
              </w:rPr>
            </w:pPr>
            <w:r w:rsidRPr="008E4D6C">
              <w:rPr>
                <w:rFonts w:ascii="Arial" w:hAnsi="Arial" w:cs="Arial"/>
                <w:b/>
                <w:sz w:val="64"/>
                <w:szCs w:val="64"/>
              </w:rPr>
              <w:t>MC</w:t>
            </w:r>
          </w:p>
        </w:tc>
      </w:tr>
      <w:tr w:rsidR="00032E4E" w:rsidRPr="008E4D6C" w14:paraId="0DEAC680" w14:textId="77777777" w:rsidTr="003D22DE">
        <w:trPr>
          <w:cantSplit/>
          <w:trHeight w:val="281"/>
          <w:jc w:val="right"/>
        </w:trPr>
        <w:tc>
          <w:tcPr>
            <w:tcW w:w="1518" w:type="dxa"/>
            <w:tcBorders>
              <w:bottom w:val="single" w:sz="4" w:space="0" w:color="auto"/>
            </w:tcBorders>
          </w:tcPr>
          <w:p w14:paraId="30269B88" w14:textId="77777777" w:rsidR="00032E4E" w:rsidRPr="008E4D6C" w:rsidRDefault="00032E4E" w:rsidP="00023DA9">
            <w:pPr>
              <w:rPr>
                <w:sz w:val="18"/>
                <w:szCs w:val="18"/>
              </w:rPr>
            </w:pPr>
          </w:p>
        </w:tc>
        <w:tc>
          <w:tcPr>
            <w:tcW w:w="4643" w:type="dxa"/>
            <w:tcBorders>
              <w:bottom w:val="single" w:sz="4" w:space="0" w:color="auto"/>
            </w:tcBorders>
          </w:tcPr>
          <w:p w14:paraId="54296B4D" w14:textId="77777777" w:rsidR="00032E4E" w:rsidRPr="008E4D6C" w:rsidRDefault="00032E4E" w:rsidP="00023DA9">
            <w:pPr>
              <w:rPr>
                <w:rFonts w:ascii="Univers" w:hAnsi="Univers"/>
                <w:b/>
                <w:sz w:val="18"/>
                <w:szCs w:val="18"/>
              </w:rPr>
            </w:pPr>
          </w:p>
        </w:tc>
        <w:tc>
          <w:tcPr>
            <w:tcW w:w="3335" w:type="dxa"/>
            <w:tcBorders>
              <w:bottom w:val="single" w:sz="4" w:space="0" w:color="auto"/>
            </w:tcBorders>
          </w:tcPr>
          <w:p w14:paraId="540639F8" w14:textId="6824D805" w:rsidR="00032E4E" w:rsidRPr="008E4D6C" w:rsidRDefault="00032E4E" w:rsidP="00787688">
            <w:pPr>
              <w:rPr>
                <w:sz w:val="18"/>
                <w:szCs w:val="18"/>
              </w:rPr>
            </w:pPr>
            <w:r w:rsidRPr="008E4D6C">
              <w:rPr>
                <w:b/>
                <w:bCs/>
                <w:sz w:val="28"/>
              </w:rPr>
              <w:t>UNEP</w:t>
            </w:r>
            <w:bookmarkStart w:id="0" w:name="OLE_LINK1"/>
            <w:bookmarkStart w:id="1" w:name="OLE_LINK2"/>
            <w:r w:rsidR="00787688" w:rsidRPr="008E4D6C">
              <w:rPr>
                <w:b/>
                <w:bCs/>
                <w:sz w:val="28"/>
              </w:rPr>
              <w:t>/</w:t>
            </w:r>
            <w:r w:rsidR="00787688" w:rsidRPr="008E4D6C">
              <w:t>MC</w:t>
            </w:r>
            <w:r w:rsidRPr="008E4D6C">
              <w:t>/</w:t>
            </w:r>
            <w:bookmarkEnd w:id="0"/>
            <w:bookmarkEnd w:id="1"/>
            <w:r w:rsidR="00787688" w:rsidRPr="008E4D6C">
              <w:t>COP.</w:t>
            </w:r>
            <w:r w:rsidR="003D22DE">
              <w:t>2</w:t>
            </w:r>
            <w:r w:rsidRPr="008E4D6C">
              <w:t>/</w:t>
            </w:r>
            <w:r w:rsidR="007D5726">
              <w:t>10</w:t>
            </w:r>
          </w:p>
        </w:tc>
      </w:tr>
      <w:bookmarkStart w:id="2" w:name="_MON_1021710510"/>
      <w:bookmarkEnd w:id="2"/>
      <w:bookmarkStart w:id="3" w:name="_MON_1021710482"/>
      <w:bookmarkEnd w:id="3"/>
      <w:tr w:rsidR="003D22DE" w:rsidRPr="008E4D6C" w14:paraId="34AA74B4" w14:textId="77777777" w:rsidTr="003D22DE">
        <w:trPr>
          <w:cantSplit/>
          <w:trHeight w:val="2549"/>
          <w:jc w:val="right"/>
        </w:trPr>
        <w:tc>
          <w:tcPr>
            <w:tcW w:w="1518" w:type="dxa"/>
            <w:tcBorders>
              <w:top w:val="single" w:sz="4" w:space="0" w:color="auto"/>
              <w:bottom w:val="single" w:sz="24" w:space="0" w:color="auto"/>
            </w:tcBorders>
          </w:tcPr>
          <w:p w14:paraId="02CDC318" w14:textId="77777777" w:rsidR="003D22DE" w:rsidRPr="008E4D6C" w:rsidRDefault="003D22DE" w:rsidP="003D22DE">
            <w:r w:rsidRPr="008E4D6C">
              <w:object w:dxaOrig="1831" w:dyaOrig="1726" w14:anchorId="6EBEC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pt;height:61.1pt" o:ole="" fillcolor="window">
                  <v:imagedata r:id="rId11" o:title=""/>
                </v:shape>
                <o:OLEObject Type="Embed" ProgID="Word.Picture.8" ShapeID="_x0000_i1025" DrawAspect="Content" ObjectID="_1666433165" r:id="rId12"/>
              </w:object>
            </w:r>
            <w:r w:rsidRPr="008E4D6C">
              <w:rPr>
                <w:noProof/>
                <w:lang w:val="en-GB" w:eastAsia="en-GB"/>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643" w:type="dxa"/>
            <w:tcBorders>
              <w:top w:val="single" w:sz="4" w:space="0" w:color="auto"/>
              <w:bottom w:val="single" w:sz="24" w:space="0" w:color="auto"/>
            </w:tcBorders>
          </w:tcPr>
          <w:p w14:paraId="2AC211BD" w14:textId="13D00ED4" w:rsidR="003D22DE" w:rsidRPr="008E4D6C" w:rsidRDefault="003D22DE" w:rsidP="003D22DE">
            <w:pPr>
              <w:spacing w:before="1200"/>
              <w:rPr>
                <w:rFonts w:ascii="Arial" w:hAnsi="Arial" w:cs="Arial"/>
                <w:b/>
                <w:sz w:val="28"/>
              </w:rPr>
            </w:pPr>
            <w:r w:rsidRPr="008E4D6C">
              <w:rPr>
                <w:rFonts w:ascii="Arial" w:hAnsi="Arial" w:cs="Arial"/>
                <w:b/>
                <w:sz w:val="32"/>
                <w:szCs w:val="32"/>
              </w:rPr>
              <w:t>Programme</w:t>
            </w:r>
            <w:r w:rsidRPr="008E4D6C">
              <w:rPr>
                <w:rFonts w:ascii="Arial" w:hAnsi="Arial" w:cs="Arial"/>
                <w:b/>
                <w:sz w:val="32"/>
                <w:szCs w:val="32"/>
              </w:rPr>
              <w:br/>
              <w:t>des Nations Unies</w:t>
            </w:r>
            <w:r w:rsidRPr="008E4D6C">
              <w:rPr>
                <w:rFonts w:ascii="Arial" w:hAnsi="Arial" w:cs="Arial"/>
                <w:b/>
                <w:sz w:val="32"/>
                <w:szCs w:val="32"/>
              </w:rPr>
              <w:br/>
              <w:t>pour l’environnement</w:t>
            </w:r>
          </w:p>
        </w:tc>
        <w:tc>
          <w:tcPr>
            <w:tcW w:w="3335" w:type="dxa"/>
            <w:tcBorders>
              <w:top w:val="single" w:sz="4" w:space="0" w:color="auto"/>
              <w:bottom w:val="single" w:sz="24" w:space="0" w:color="auto"/>
            </w:tcBorders>
          </w:tcPr>
          <w:p w14:paraId="3F8F71B5" w14:textId="77777777" w:rsidR="003D22DE" w:rsidRPr="00A47916" w:rsidRDefault="003D22DE" w:rsidP="003D22DE">
            <w:pPr>
              <w:spacing w:before="120"/>
            </w:pPr>
            <w:proofErr w:type="spellStart"/>
            <w:r w:rsidRPr="00A47916">
              <w:t>Distr</w:t>
            </w:r>
            <w:proofErr w:type="spellEnd"/>
            <w:r w:rsidRPr="00A47916">
              <w:t xml:space="preserve">. générale </w:t>
            </w:r>
            <w:r w:rsidRPr="00A47916">
              <w:br/>
            </w:r>
            <w:r>
              <w:t>6 décembre</w:t>
            </w:r>
            <w:r w:rsidRPr="00A47916">
              <w:t xml:space="preserve"> 2018</w:t>
            </w:r>
          </w:p>
          <w:p w14:paraId="1A75CF9D" w14:textId="7D0A0F0E" w:rsidR="003D22DE" w:rsidRPr="008E4D6C" w:rsidRDefault="003D22DE" w:rsidP="003D22DE">
            <w:pPr>
              <w:spacing w:before="240"/>
            </w:pPr>
            <w:r w:rsidRPr="00A47916">
              <w:t>Français</w:t>
            </w:r>
            <w:r>
              <w:t xml:space="preserve"> </w:t>
            </w:r>
            <w:r w:rsidRPr="00A47916">
              <w:br/>
              <w:t>Original : anglais</w:t>
            </w:r>
          </w:p>
        </w:tc>
      </w:tr>
    </w:tbl>
    <w:p w14:paraId="48BB973D" w14:textId="77777777" w:rsidR="003D22DE" w:rsidRPr="00A47916" w:rsidRDefault="003D22DE" w:rsidP="003D22DE">
      <w:pPr>
        <w:pStyle w:val="AATitle"/>
        <w:rPr>
          <w:lang w:val="fr-FR"/>
        </w:rPr>
      </w:pPr>
      <w:r w:rsidRPr="00A47916">
        <w:rPr>
          <w:lang w:val="fr-FR"/>
        </w:rPr>
        <w:t>Conférence</w:t>
      </w:r>
      <w:r>
        <w:rPr>
          <w:lang w:val="fr-FR"/>
        </w:rPr>
        <w:t xml:space="preserve"> des </w:t>
      </w:r>
      <w:r w:rsidRPr="005F4E6A">
        <w:t>Parties</w:t>
      </w:r>
      <w:r w:rsidRPr="00A47916">
        <w:rPr>
          <w:lang w:val="fr-FR"/>
        </w:rPr>
        <w:t xml:space="preserve"> à</w:t>
      </w:r>
      <w:r>
        <w:rPr>
          <w:lang w:val="fr-FR"/>
        </w:rPr>
        <w:t xml:space="preserve"> la </w:t>
      </w:r>
      <w:r w:rsidRPr="00A47916">
        <w:rPr>
          <w:lang w:val="fr-FR"/>
        </w:rPr>
        <w:t xml:space="preserve">Convention </w:t>
      </w:r>
      <w:r w:rsidRPr="00A47916">
        <w:rPr>
          <w:lang w:val="fr-FR"/>
        </w:rPr>
        <w:br/>
        <w:t>de Minamata sur</w:t>
      </w:r>
      <w:r>
        <w:rPr>
          <w:lang w:val="fr-FR"/>
        </w:rPr>
        <w:t xml:space="preserve"> le </w:t>
      </w:r>
      <w:r w:rsidRPr="00A47916">
        <w:rPr>
          <w:lang w:val="fr-FR"/>
        </w:rPr>
        <w:t>mercure</w:t>
      </w:r>
    </w:p>
    <w:p w14:paraId="5FA5DBD8" w14:textId="77777777" w:rsidR="003D22DE" w:rsidRPr="00A47916" w:rsidRDefault="003D22DE" w:rsidP="003D22DE">
      <w:pPr>
        <w:pStyle w:val="AATitle"/>
        <w:rPr>
          <w:lang w:val="fr-FR"/>
        </w:rPr>
      </w:pPr>
      <w:r w:rsidRPr="00A47916">
        <w:rPr>
          <w:lang w:val="fr-FR"/>
        </w:rPr>
        <w:t>Deuxième réunion</w:t>
      </w:r>
    </w:p>
    <w:p w14:paraId="78EFE1C1" w14:textId="77777777" w:rsidR="003D22DE" w:rsidRPr="005F4E6A" w:rsidRDefault="003D22DE" w:rsidP="003D22DE">
      <w:pPr>
        <w:pStyle w:val="AATitle"/>
        <w:rPr>
          <w:b w:val="0"/>
        </w:rPr>
      </w:pPr>
      <w:r w:rsidRPr="005F4E6A">
        <w:rPr>
          <w:b w:val="0"/>
        </w:rPr>
        <w:t>Genève, 19-23 novembre 2018</w:t>
      </w:r>
    </w:p>
    <w:p w14:paraId="6A936C15" w14:textId="77777777" w:rsidR="000A26B1" w:rsidRDefault="000A26B1" w:rsidP="000A26B1">
      <w:pPr>
        <w:pStyle w:val="ZZAnxtitle"/>
      </w:pPr>
      <w:bookmarkStart w:id="4" w:name="_Toc14185198"/>
      <w:r>
        <w:t>Décision adoptée par la deuxième Conférence des Parties à la Convention de Minamata sur le mercure</w:t>
      </w:r>
    </w:p>
    <w:p w14:paraId="38ADD513" w14:textId="51FE2C34" w:rsidR="003645F6" w:rsidRPr="003A0CFB" w:rsidRDefault="003645F6" w:rsidP="003645F6">
      <w:pPr>
        <w:pStyle w:val="CH1"/>
        <w:rPr>
          <w:rFonts w:eastAsia="MS Mincho"/>
        </w:rPr>
      </w:pPr>
      <w:bookmarkStart w:id="5" w:name="_GoBack"/>
      <w:bookmarkEnd w:id="5"/>
      <w:r>
        <w:rPr>
          <w:rFonts w:eastAsia="MS Mincho"/>
        </w:rPr>
        <w:tab/>
      </w:r>
      <w:r>
        <w:rPr>
          <w:rFonts w:eastAsia="MS Mincho"/>
        </w:rPr>
        <w:tab/>
        <w:t>M</w:t>
      </w:r>
      <w:r w:rsidRPr="003A0CFB">
        <w:rPr>
          <w:rFonts w:eastAsia="MS Mincho"/>
        </w:rPr>
        <w:t>C-2/10 : Évaluation de l</w:t>
      </w:r>
      <w:r>
        <w:rPr>
          <w:rFonts w:eastAsia="MS Mincho"/>
        </w:rPr>
        <w:t>’</w:t>
      </w:r>
      <w:r w:rsidRPr="003A0CFB">
        <w:rPr>
          <w:rFonts w:eastAsia="MS Mincho"/>
        </w:rPr>
        <w:t>efficacité</w:t>
      </w:r>
      <w:bookmarkEnd w:id="4"/>
    </w:p>
    <w:p w14:paraId="7FD415C3" w14:textId="77777777" w:rsidR="003645F6" w:rsidRPr="00E579AA" w:rsidRDefault="003645F6" w:rsidP="003645F6">
      <w:pPr>
        <w:pStyle w:val="NormalNonumber"/>
        <w:rPr>
          <w:i/>
          <w:lang w:val="fr-FR"/>
        </w:rPr>
      </w:pPr>
      <w:r>
        <w:rPr>
          <w:lang w:val="fr-FR"/>
        </w:rPr>
        <w:tab/>
      </w:r>
      <w:r w:rsidRPr="00E579AA">
        <w:rPr>
          <w:i/>
          <w:lang w:val="fr-FR"/>
        </w:rPr>
        <w:t>La Conférence des Parties,</w:t>
      </w:r>
    </w:p>
    <w:p w14:paraId="0653CE35" w14:textId="77777777" w:rsidR="003645F6" w:rsidRPr="002E41A8" w:rsidRDefault="003645F6" w:rsidP="003645F6">
      <w:pPr>
        <w:pStyle w:val="NormalNonumber"/>
        <w:rPr>
          <w:lang w:val="fr-FR"/>
        </w:rPr>
      </w:pPr>
      <w:r>
        <w:rPr>
          <w:i/>
          <w:iCs/>
          <w:lang w:val="fr-FR"/>
        </w:rPr>
        <w:tab/>
      </w:r>
      <w:r w:rsidRPr="002E41A8">
        <w:rPr>
          <w:i/>
          <w:iCs/>
          <w:lang w:val="fr-FR"/>
        </w:rPr>
        <w:t>Ré</w:t>
      </w:r>
      <w:r>
        <w:rPr>
          <w:i/>
          <w:iCs/>
          <w:lang w:val="fr-FR"/>
        </w:rPr>
        <w:t>itér</w:t>
      </w:r>
      <w:r w:rsidRPr="002E41A8">
        <w:rPr>
          <w:i/>
          <w:iCs/>
          <w:lang w:val="fr-FR"/>
        </w:rPr>
        <w:t>ant</w:t>
      </w:r>
      <w:r w:rsidRPr="002E41A8">
        <w:rPr>
          <w:lang w:val="fr-FR"/>
        </w:rPr>
        <w:t xml:space="preserve"> que l</w:t>
      </w:r>
      <w:r>
        <w:rPr>
          <w:lang w:val="fr-FR"/>
        </w:rPr>
        <w:t>’</w:t>
      </w:r>
      <w:r w:rsidRPr="002E41A8">
        <w:rPr>
          <w:lang w:val="fr-FR"/>
        </w:rPr>
        <w:t>évaluation de l</w:t>
      </w:r>
      <w:r>
        <w:rPr>
          <w:lang w:val="fr-FR"/>
        </w:rPr>
        <w:t>’</w:t>
      </w:r>
      <w:r w:rsidRPr="002E41A8">
        <w:rPr>
          <w:lang w:val="fr-FR"/>
        </w:rPr>
        <w:t>efficacité vise à apprécier l</w:t>
      </w:r>
      <w:r>
        <w:rPr>
          <w:lang w:val="fr-FR"/>
        </w:rPr>
        <w:t>’</w:t>
      </w:r>
      <w:r w:rsidRPr="002E41A8">
        <w:rPr>
          <w:lang w:val="fr-FR"/>
        </w:rPr>
        <w:t>efficacité globale de</w:t>
      </w:r>
      <w:r>
        <w:rPr>
          <w:lang w:val="fr-FR"/>
        </w:rPr>
        <w:t xml:space="preserve"> la </w:t>
      </w:r>
      <w:r w:rsidRPr="002E41A8">
        <w:rPr>
          <w:lang w:val="fr-FR"/>
        </w:rPr>
        <w:t>Convention à l</w:t>
      </w:r>
      <w:r>
        <w:rPr>
          <w:lang w:val="fr-FR"/>
        </w:rPr>
        <w:t>’</w:t>
      </w:r>
      <w:r w:rsidRPr="002E41A8">
        <w:rPr>
          <w:lang w:val="fr-FR"/>
        </w:rPr>
        <w:t>échelle mondiale en fonction de l</w:t>
      </w:r>
      <w:r>
        <w:rPr>
          <w:lang w:val="fr-FR"/>
        </w:rPr>
        <w:t>’</w:t>
      </w:r>
      <w:r w:rsidRPr="002E41A8">
        <w:rPr>
          <w:lang w:val="fr-FR"/>
        </w:rPr>
        <w:t>objectif défini à l</w:t>
      </w:r>
      <w:r>
        <w:rPr>
          <w:lang w:val="fr-FR"/>
        </w:rPr>
        <w:t>’</w:t>
      </w:r>
      <w:r w:rsidRPr="002E41A8">
        <w:rPr>
          <w:lang w:val="fr-FR"/>
        </w:rPr>
        <w:t>article 1 de</w:t>
      </w:r>
      <w:r>
        <w:rPr>
          <w:lang w:val="fr-FR"/>
        </w:rPr>
        <w:t xml:space="preserve"> la </w:t>
      </w:r>
      <w:r w:rsidRPr="002E41A8">
        <w:rPr>
          <w:lang w:val="fr-FR"/>
        </w:rPr>
        <w:t>Convention de Minamata sur</w:t>
      </w:r>
      <w:r>
        <w:rPr>
          <w:lang w:val="fr-FR"/>
        </w:rPr>
        <w:t xml:space="preserve"> le </w:t>
      </w:r>
      <w:r w:rsidRPr="002E41A8">
        <w:rPr>
          <w:lang w:val="fr-FR"/>
        </w:rPr>
        <w:t>mercure,</w:t>
      </w:r>
    </w:p>
    <w:p w14:paraId="581A7E2D" w14:textId="77777777" w:rsidR="003645F6" w:rsidRPr="002E41A8" w:rsidRDefault="003645F6" w:rsidP="003645F6">
      <w:pPr>
        <w:pStyle w:val="NormalNonumber"/>
        <w:rPr>
          <w:lang w:val="fr-FR"/>
        </w:rPr>
      </w:pPr>
      <w:r>
        <w:rPr>
          <w:i/>
          <w:iCs/>
          <w:lang w:val="fr-FR"/>
        </w:rPr>
        <w:tab/>
      </w:r>
      <w:r w:rsidRPr="002E41A8">
        <w:rPr>
          <w:i/>
          <w:iCs/>
          <w:lang w:val="fr-FR"/>
        </w:rPr>
        <w:t>Prenant note avec satisfaction</w:t>
      </w:r>
      <w:r w:rsidRPr="002E41A8">
        <w:rPr>
          <w:lang w:val="fr-FR"/>
        </w:rPr>
        <w:t xml:space="preserve"> du rapport élaboré par</w:t>
      </w:r>
      <w:r>
        <w:rPr>
          <w:lang w:val="fr-FR"/>
        </w:rPr>
        <w:t xml:space="preserve"> le </w:t>
      </w:r>
      <w:r w:rsidRPr="002E41A8">
        <w:rPr>
          <w:lang w:val="fr-FR"/>
        </w:rPr>
        <w:t>groupe spécial d</w:t>
      </w:r>
      <w:r>
        <w:rPr>
          <w:lang w:val="fr-FR"/>
        </w:rPr>
        <w:t>’</w:t>
      </w:r>
      <w:r w:rsidRPr="002E41A8">
        <w:rPr>
          <w:lang w:val="fr-FR"/>
        </w:rPr>
        <w:t>experts techniques sur l</w:t>
      </w:r>
      <w:r>
        <w:rPr>
          <w:lang w:val="fr-FR"/>
        </w:rPr>
        <w:t>’</w:t>
      </w:r>
      <w:r w:rsidRPr="002E41A8">
        <w:rPr>
          <w:lang w:val="fr-FR"/>
        </w:rPr>
        <w:t>évaluation de l</w:t>
      </w:r>
      <w:r>
        <w:rPr>
          <w:lang w:val="fr-FR"/>
        </w:rPr>
        <w:t>’</w:t>
      </w:r>
      <w:r w:rsidRPr="002E41A8">
        <w:rPr>
          <w:lang w:val="fr-FR"/>
        </w:rPr>
        <w:t>efficacité</w:t>
      </w:r>
      <w:r w:rsidRPr="002E41A8">
        <w:rPr>
          <w:rStyle w:val="FootnoteReference"/>
          <w:lang w:val="fr-FR"/>
        </w:rPr>
        <w:footnoteReference w:id="2"/>
      </w:r>
      <w:r w:rsidRPr="002E41A8">
        <w:rPr>
          <w:lang w:val="fr-FR"/>
        </w:rPr>
        <w:t>,</w:t>
      </w:r>
    </w:p>
    <w:p w14:paraId="0B6763A9" w14:textId="77777777" w:rsidR="003645F6" w:rsidRPr="002E41A8" w:rsidRDefault="003645F6" w:rsidP="003645F6">
      <w:pPr>
        <w:pStyle w:val="NormalNonumber"/>
        <w:rPr>
          <w:lang w:val="fr-FR"/>
        </w:rPr>
      </w:pPr>
      <w:r>
        <w:rPr>
          <w:i/>
          <w:iCs/>
          <w:lang w:val="fr-FR"/>
        </w:rPr>
        <w:tab/>
      </w:r>
      <w:r w:rsidRPr="002E41A8">
        <w:rPr>
          <w:i/>
          <w:iCs/>
          <w:lang w:val="fr-FR"/>
        </w:rPr>
        <w:t xml:space="preserve">Constatant </w:t>
      </w:r>
      <w:r w:rsidRPr="002E41A8">
        <w:rPr>
          <w:lang w:val="fr-FR"/>
        </w:rPr>
        <w:t>que</w:t>
      </w:r>
      <w:r>
        <w:rPr>
          <w:lang w:val="fr-FR"/>
        </w:rPr>
        <w:t xml:space="preserve"> le </w:t>
      </w:r>
      <w:r w:rsidRPr="002E41A8">
        <w:rPr>
          <w:lang w:val="fr-FR"/>
        </w:rPr>
        <w:t>projet de rapport du groupe spécial d</w:t>
      </w:r>
      <w:r>
        <w:rPr>
          <w:lang w:val="fr-FR"/>
        </w:rPr>
        <w:t>’</w:t>
      </w:r>
      <w:r w:rsidRPr="002E41A8">
        <w:rPr>
          <w:lang w:val="fr-FR"/>
        </w:rPr>
        <w:t>experts techniques indique que</w:t>
      </w:r>
      <w:r>
        <w:rPr>
          <w:lang w:val="fr-FR"/>
        </w:rPr>
        <w:t xml:space="preserve"> des </w:t>
      </w:r>
      <w:r w:rsidRPr="002E41A8">
        <w:rPr>
          <w:lang w:val="fr-FR"/>
        </w:rPr>
        <w:t>programmes de surveillance existants pourraient contribuer à l</w:t>
      </w:r>
      <w:r>
        <w:rPr>
          <w:lang w:val="fr-FR"/>
        </w:rPr>
        <w:t>’</w:t>
      </w:r>
      <w:r w:rsidRPr="002E41A8">
        <w:rPr>
          <w:lang w:val="fr-FR"/>
        </w:rPr>
        <w:t>évaluation de l</w:t>
      </w:r>
      <w:r>
        <w:rPr>
          <w:lang w:val="fr-FR"/>
        </w:rPr>
        <w:t>’</w:t>
      </w:r>
      <w:r w:rsidRPr="002E41A8">
        <w:rPr>
          <w:lang w:val="fr-FR"/>
        </w:rPr>
        <w:t>efficacité et pourraient être renforcés dans l</w:t>
      </w:r>
      <w:r>
        <w:rPr>
          <w:lang w:val="fr-FR"/>
        </w:rPr>
        <w:t>’</w:t>
      </w:r>
      <w:r w:rsidRPr="002E41A8">
        <w:rPr>
          <w:lang w:val="fr-FR"/>
        </w:rPr>
        <w:t>esprit de l</w:t>
      </w:r>
      <w:r>
        <w:rPr>
          <w:lang w:val="fr-FR"/>
        </w:rPr>
        <w:t>’</w:t>
      </w:r>
      <w:r w:rsidRPr="002E41A8">
        <w:rPr>
          <w:lang w:val="fr-FR"/>
        </w:rPr>
        <w:t>article 19 de</w:t>
      </w:r>
      <w:r>
        <w:rPr>
          <w:lang w:val="fr-FR"/>
        </w:rPr>
        <w:t xml:space="preserve"> la </w:t>
      </w:r>
      <w:r w:rsidRPr="002E41A8">
        <w:rPr>
          <w:lang w:val="fr-FR"/>
        </w:rPr>
        <w:t>Convention, lequel engage</w:t>
      </w:r>
      <w:r>
        <w:rPr>
          <w:lang w:val="fr-FR"/>
        </w:rPr>
        <w:t xml:space="preserve"> les </w:t>
      </w:r>
      <w:r w:rsidRPr="002E41A8">
        <w:rPr>
          <w:lang w:val="fr-FR"/>
        </w:rPr>
        <w:t>Parties à coopérer pour développer et améliorer</w:t>
      </w:r>
      <w:r>
        <w:rPr>
          <w:lang w:val="fr-FR"/>
        </w:rPr>
        <w:t xml:space="preserve"> la </w:t>
      </w:r>
      <w:r w:rsidRPr="002E41A8">
        <w:rPr>
          <w:lang w:val="fr-FR"/>
        </w:rPr>
        <w:t>modélisation et</w:t>
      </w:r>
      <w:r>
        <w:rPr>
          <w:lang w:val="fr-FR"/>
        </w:rPr>
        <w:t xml:space="preserve"> la </w:t>
      </w:r>
      <w:r w:rsidRPr="002E41A8">
        <w:rPr>
          <w:lang w:val="fr-FR"/>
        </w:rPr>
        <w:t>surveillance géographiquement représentative,</w:t>
      </w:r>
    </w:p>
    <w:p w14:paraId="1866FFAC" w14:textId="77777777" w:rsidR="003645F6" w:rsidRPr="002E41A8" w:rsidRDefault="003645F6" w:rsidP="003645F6">
      <w:pPr>
        <w:pStyle w:val="NormalNonumber"/>
        <w:rPr>
          <w:lang w:val="fr-FR"/>
        </w:rPr>
      </w:pPr>
      <w:r>
        <w:rPr>
          <w:lang w:val="fr-FR"/>
        </w:rPr>
        <w:tab/>
      </w:r>
      <w:r w:rsidRPr="002E41A8">
        <w:rPr>
          <w:i/>
          <w:iCs/>
          <w:lang w:val="fr-FR"/>
        </w:rPr>
        <w:t>Constatant également</w:t>
      </w:r>
      <w:r w:rsidRPr="002E41A8">
        <w:rPr>
          <w:lang w:val="fr-FR"/>
        </w:rPr>
        <w:t xml:space="preserve"> que</w:t>
      </w:r>
      <w:r>
        <w:rPr>
          <w:lang w:val="fr-FR"/>
        </w:rPr>
        <w:t xml:space="preserve"> le </w:t>
      </w:r>
      <w:r w:rsidRPr="002E41A8">
        <w:rPr>
          <w:lang w:val="fr-FR"/>
        </w:rPr>
        <w:t>projet de rapport fait apparaître d</w:t>
      </w:r>
      <w:r>
        <w:rPr>
          <w:lang w:val="fr-FR"/>
        </w:rPr>
        <w:t>’</w:t>
      </w:r>
      <w:r w:rsidRPr="002E41A8">
        <w:rPr>
          <w:lang w:val="fr-FR"/>
        </w:rPr>
        <w:t>importantes lacunes dans</w:t>
      </w:r>
      <w:r>
        <w:rPr>
          <w:lang w:val="fr-FR"/>
        </w:rPr>
        <w:t xml:space="preserve"> les </w:t>
      </w:r>
      <w:r w:rsidRPr="002E41A8">
        <w:rPr>
          <w:lang w:val="fr-FR"/>
        </w:rPr>
        <w:t>données de diverses régions du monde et que combler ces lacunes au moyen de programmes de surveillance existants ou nouveaux contribuerait à l</w:t>
      </w:r>
      <w:r>
        <w:rPr>
          <w:lang w:val="fr-FR"/>
        </w:rPr>
        <w:t>’</w:t>
      </w:r>
      <w:r w:rsidRPr="002E41A8">
        <w:rPr>
          <w:lang w:val="fr-FR"/>
        </w:rPr>
        <w:t>évaluation de l</w:t>
      </w:r>
      <w:r>
        <w:rPr>
          <w:lang w:val="fr-FR"/>
        </w:rPr>
        <w:t>’</w:t>
      </w:r>
      <w:r w:rsidRPr="002E41A8">
        <w:rPr>
          <w:lang w:val="fr-FR"/>
        </w:rPr>
        <w:t>efficacité,</w:t>
      </w:r>
    </w:p>
    <w:p w14:paraId="426B2294" w14:textId="77777777" w:rsidR="003645F6" w:rsidRPr="002642C9" w:rsidRDefault="003645F6" w:rsidP="003645F6">
      <w:pPr>
        <w:pStyle w:val="NormalNonumber"/>
        <w:rPr>
          <w:lang w:val="fr-FR"/>
        </w:rPr>
      </w:pPr>
      <w:r>
        <w:rPr>
          <w:iCs/>
          <w:lang w:val="fr-FR"/>
        </w:rPr>
        <w:tab/>
        <w:t>1.</w:t>
      </w:r>
      <w:r>
        <w:rPr>
          <w:iCs/>
          <w:lang w:val="fr-FR"/>
        </w:rPr>
        <w:tab/>
      </w:r>
      <w:r w:rsidRPr="002642C9">
        <w:rPr>
          <w:i/>
          <w:iCs/>
          <w:lang w:val="fr-FR"/>
        </w:rPr>
        <w:t>Proroge</w:t>
      </w:r>
      <w:r>
        <w:rPr>
          <w:lang w:val="fr-FR"/>
        </w:rPr>
        <w:t xml:space="preserve"> le </w:t>
      </w:r>
      <w:r w:rsidRPr="002642C9">
        <w:rPr>
          <w:lang w:val="fr-FR"/>
        </w:rPr>
        <w:t xml:space="preserve">mandat </w:t>
      </w:r>
      <w:r>
        <w:rPr>
          <w:lang w:val="fr-FR"/>
        </w:rPr>
        <w:t xml:space="preserve">donné au </w:t>
      </w:r>
      <w:r w:rsidRPr="001928E0">
        <w:rPr>
          <w:lang w:val="fr-FR"/>
        </w:rPr>
        <w:t>groupe spécial d</w:t>
      </w:r>
      <w:r>
        <w:rPr>
          <w:lang w:val="fr-FR"/>
        </w:rPr>
        <w:t>’</w:t>
      </w:r>
      <w:r w:rsidRPr="001928E0">
        <w:rPr>
          <w:lang w:val="fr-FR"/>
        </w:rPr>
        <w:t>experts techniques dans</w:t>
      </w:r>
      <w:r>
        <w:rPr>
          <w:lang w:val="fr-FR"/>
        </w:rPr>
        <w:t xml:space="preserve"> </w:t>
      </w:r>
      <w:r>
        <w:rPr>
          <w:lang w:val="fr-FR"/>
        </w:rPr>
        <w:br/>
        <w:t>la </w:t>
      </w:r>
      <w:r w:rsidRPr="001928E0">
        <w:rPr>
          <w:lang w:val="fr-FR"/>
        </w:rPr>
        <w:t>décision</w:t>
      </w:r>
      <w:r>
        <w:rPr>
          <w:lang w:val="fr-FR"/>
        </w:rPr>
        <w:t> </w:t>
      </w:r>
      <w:r w:rsidRPr="001928E0">
        <w:rPr>
          <w:lang w:val="fr-FR"/>
        </w:rPr>
        <w:t>MC-1/9</w:t>
      </w:r>
      <w:r w:rsidRPr="002642C9">
        <w:rPr>
          <w:lang w:val="fr-FR"/>
        </w:rPr>
        <w:t xml:space="preserve"> </w:t>
      </w:r>
      <w:r>
        <w:rPr>
          <w:lang w:val="fr-FR"/>
        </w:rPr>
        <w:t>de se pencher sur les </w:t>
      </w:r>
      <w:r w:rsidRPr="002642C9">
        <w:rPr>
          <w:lang w:val="fr-FR"/>
        </w:rPr>
        <w:t xml:space="preserve">questions </w:t>
      </w:r>
      <w:r>
        <w:rPr>
          <w:lang w:val="fr-FR"/>
        </w:rPr>
        <w:t>énuméré</w:t>
      </w:r>
      <w:r w:rsidRPr="002642C9">
        <w:rPr>
          <w:lang w:val="fr-FR"/>
        </w:rPr>
        <w:t>es dans l</w:t>
      </w:r>
      <w:r>
        <w:rPr>
          <w:lang w:val="fr-FR"/>
        </w:rPr>
        <w:t>’</w:t>
      </w:r>
      <w:r w:rsidRPr="002642C9">
        <w:rPr>
          <w:lang w:val="fr-FR"/>
        </w:rPr>
        <w:t>annexe I de</w:t>
      </w:r>
      <w:r>
        <w:rPr>
          <w:lang w:val="fr-FR"/>
        </w:rPr>
        <w:t xml:space="preserve"> la </w:t>
      </w:r>
      <w:r w:rsidRPr="002642C9">
        <w:rPr>
          <w:lang w:val="fr-FR"/>
        </w:rPr>
        <w:t>présente décision ;</w:t>
      </w:r>
    </w:p>
    <w:p w14:paraId="231A7157" w14:textId="77777777" w:rsidR="003645F6" w:rsidRPr="002E41A8" w:rsidRDefault="003645F6" w:rsidP="003645F6">
      <w:pPr>
        <w:pStyle w:val="NormalNonumber"/>
        <w:rPr>
          <w:lang w:val="fr-FR"/>
        </w:rPr>
      </w:pPr>
      <w:r>
        <w:rPr>
          <w:iCs/>
          <w:lang w:val="fr-FR"/>
        </w:rPr>
        <w:tab/>
        <w:t>2.</w:t>
      </w:r>
      <w:r>
        <w:rPr>
          <w:iCs/>
          <w:lang w:val="fr-FR"/>
        </w:rPr>
        <w:tab/>
      </w:r>
      <w:r w:rsidRPr="002E41A8">
        <w:rPr>
          <w:i/>
          <w:iCs/>
          <w:lang w:val="fr-FR"/>
        </w:rPr>
        <w:t>Adopte</w:t>
      </w:r>
      <w:r>
        <w:rPr>
          <w:i/>
          <w:iCs/>
          <w:lang w:val="fr-FR"/>
        </w:rPr>
        <w:t xml:space="preserve"> le </w:t>
      </w:r>
      <w:r w:rsidRPr="002E41A8">
        <w:rPr>
          <w:lang w:val="fr-FR"/>
        </w:rPr>
        <w:t xml:space="preserve">projet de feuille de route </w:t>
      </w:r>
      <w:r>
        <w:rPr>
          <w:lang w:val="fr-FR"/>
        </w:rPr>
        <w:t>présenté</w:t>
      </w:r>
      <w:r w:rsidRPr="002E41A8">
        <w:rPr>
          <w:lang w:val="fr-FR"/>
        </w:rPr>
        <w:t xml:space="preserve"> dans l</w:t>
      </w:r>
      <w:r>
        <w:rPr>
          <w:lang w:val="fr-FR"/>
        </w:rPr>
        <w:t>’</w:t>
      </w:r>
      <w:r w:rsidRPr="002E41A8">
        <w:rPr>
          <w:lang w:val="fr-FR"/>
        </w:rPr>
        <w:t>annexe II de</w:t>
      </w:r>
      <w:r>
        <w:rPr>
          <w:lang w:val="fr-FR"/>
        </w:rPr>
        <w:t xml:space="preserve"> la </w:t>
      </w:r>
      <w:r w:rsidRPr="002E41A8">
        <w:rPr>
          <w:lang w:val="fr-FR"/>
        </w:rPr>
        <w:t>présente décision ;</w:t>
      </w:r>
    </w:p>
    <w:p w14:paraId="487AEDD2" w14:textId="77777777" w:rsidR="003645F6" w:rsidRPr="002E41A8" w:rsidRDefault="003645F6" w:rsidP="003645F6">
      <w:pPr>
        <w:pStyle w:val="NormalNonumber"/>
        <w:rPr>
          <w:lang w:val="fr-FR"/>
        </w:rPr>
      </w:pPr>
      <w:r>
        <w:rPr>
          <w:iCs/>
          <w:lang w:val="fr-FR"/>
        </w:rPr>
        <w:tab/>
        <w:t>3.</w:t>
      </w:r>
      <w:r>
        <w:rPr>
          <w:iCs/>
          <w:lang w:val="fr-FR"/>
        </w:rPr>
        <w:tab/>
      </w:r>
      <w:r w:rsidRPr="002E41A8">
        <w:rPr>
          <w:i/>
          <w:iCs/>
          <w:lang w:val="fr-FR"/>
        </w:rPr>
        <w:t>Prie</w:t>
      </w:r>
      <w:r>
        <w:rPr>
          <w:lang w:val="fr-FR"/>
        </w:rPr>
        <w:t xml:space="preserve"> le </w:t>
      </w:r>
      <w:r w:rsidRPr="002E41A8">
        <w:rPr>
          <w:lang w:val="fr-FR"/>
        </w:rPr>
        <w:t>groupe spécial d</w:t>
      </w:r>
      <w:r>
        <w:rPr>
          <w:lang w:val="fr-FR"/>
        </w:rPr>
        <w:t>’</w:t>
      </w:r>
      <w:r w:rsidRPr="002E41A8">
        <w:rPr>
          <w:lang w:val="fr-FR"/>
        </w:rPr>
        <w:t>experts techniques d</w:t>
      </w:r>
      <w:r>
        <w:rPr>
          <w:lang w:val="fr-FR"/>
        </w:rPr>
        <w:t>’</w:t>
      </w:r>
      <w:r w:rsidRPr="002E41A8">
        <w:rPr>
          <w:lang w:val="fr-FR"/>
        </w:rPr>
        <w:t>élaborer</w:t>
      </w:r>
      <w:r>
        <w:rPr>
          <w:lang w:val="fr-FR"/>
        </w:rPr>
        <w:t xml:space="preserve"> un cadre pour les </w:t>
      </w:r>
      <w:r w:rsidRPr="002E41A8">
        <w:rPr>
          <w:lang w:val="fr-FR"/>
        </w:rPr>
        <w:t xml:space="preserve">arrangements </w:t>
      </w:r>
      <w:r>
        <w:rPr>
          <w:lang w:val="fr-FR"/>
        </w:rPr>
        <w:t xml:space="preserve">mondiaux </w:t>
      </w:r>
      <w:r w:rsidRPr="002E41A8">
        <w:rPr>
          <w:lang w:val="fr-FR"/>
        </w:rPr>
        <w:t>en matière de surveillance ;</w:t>
      </w:r>
    </w:p>
    <w:p w14:paraId="2F027B9D" w14:textId="77777777" w:rsidR="003645F6" w:rsidRPr="002E41A8" w:rsidRDefault="003645F6" w:rsidP="003645F6">
      <w:pPr>
        <w:pStyle w:val="NormalNonumber"/>
        <w:rPr>
          <w:lang w:val="fr-FR"/>
        </w:rPr>
      </w:pPr>
      <w:r>
        <w:rPr>
          <w:iCs/>
          <w:lang w:val="fr-FR"/>
        </w:rPr>
        <w:tab/>
        <w:t>4.</w:t>
      </w:r>
      <w:r>
        <w:rPr>
          <w:iCs/>
          <w:lang w:val="fr-FR"/>
        </w:rPr>
        <w:tab/>
      </w:r>
      <w:r w:rsidRPr="002E41A8">
        <w:rPr>
          <w:i/>
          <w:iCs/>
          <w:lang w:val="fr-FR"/>
        </w:rPr>
        <w:t>Prie</w:t>
      </w:r>
      <w:r>
        <w:rPr>
          <w:i/>
          <w:iCs/>
          <w:lang w:val="fr-FR"/>
        </w:rPr>
        <w:t xml:space="preserve"> les </w:t>
      </w:r>
      <w:r w:rsidRPr="002E41A8">
        <w:rPr>
          <w:lang w:val="fr-FR"/>
        </w:rPr>
        <w:t>Parties,</w:t>
      </w:r>
      <w:r>
        <w:rPr>
          <w:lang w:val="fr-FR"/>
        </w:rPr>
        <w:t xml:space="preserve"> les </w:t>
      </w:r>
      <w:r w:rsidRPr="002E41A8">
        <w:rPr>
          <w:lang w:val="fr-FR"/>
        </w:rPr>
        <w:t>autres gouvernements et</w:t>
      </w:r>
      <w:r>
        <w:rPr>
          <w:lang w:val="fr-FR"/>
        </w:rPr>
        <w:t xml:space="preserve"> les </w:t>
      </w:r>
      <w:r w:rsidRPr="002E41A8">
        <w:rPr>
          <w:lang w:val="fr-FR"/>
        </w:rPr>
        <w:t xml:space="preserve">organisations intéressées </w:t>
      </w:r>
      <w:r>
        <w:rPr>
          <w:lang w:val="fr-FR"/>
        </w:rPr>
        <w:t>de</w:t>
      </w:r>
      <w:r w:rsidRPr="002E41A8">
        <w:rPr>
          <w:lang w:val="fr-FR"/>
        </w:rPr>
        <w:t xml:space="preserve"> continuer </w:t>
      </w:r>
      <w:r>
        <w:rPr>
          <w:lang w:val="fr-FR"/>
        </w:rPr>
        <w:t>à</w:t>
      </w:r>
      <w:r w:rsidRPr="002E41A8">
        <w:rPr>
          <w:lang w:val="fr-FR"/>
        </w:rPr>
        <w:t xml:space="preserve"> communiquer au secrétariat</w:t>
      </w:r>
      <w:r>
        <w:rPr>
          <w:lang w:val="fr-FR"/>
        </w:rPr>
        <w:t xml:space="preserve"> des </w:t>
      </w:r>
      <w:r w:rsidRPr="002E41A8">
        <w:rPr>
          <w:lang w:val="fr-FR"/>
        </w:rPr>
        <w:t xml:space="preserve">informations sur leurs programmes de surveillance </w:t>
      </w:r>
      <w:r>
        <w:rPr>
          <w:lang w:val="fr-FR"/>
        </w:rPr>
        <w:t>d’ici à</w:t>
      </w:r>
      <w:r w:rsidRPr="002E41A8">
        <w:rPr>
          <w:lang w:val="fr-FR"/>
        </w:rPr>
        <w:t xml:space="preserve"> sa troisième réunion ;</w:t>
      </w:r>
    </w:p>
    <w:p w14:paraId="0D4D0636" w14:textId="77777777" w:rsidR="003645F6" w:rsidRPr="002E41A8" w:rsidRDefault="003645F6" w:rsidP="003645F6">
      <w:pPr>
        <w:pStyle w:val="NormalNonumber"/>
        <w:rPr>
          <w:lang w:val="fr-FR"/>
        </w:rPr>
      </w:pPr>
      <w:r>
        <w:rPr>
          <w:iCs/>
          <w:lang w:val="fr-FR"/>
        </w:rPr>
        <w:tab/>
        <w:t>5.</w:t>
      </w:r>
      <w:r>
        <w:rPr>
          <w:iCs/>
          <w:lang w:val="fr-FR"/>
        </w:rPr>
        <w:tab/>
      </w:r>
      <w:r w:rsidRPr="002E41A8">
        <w:rPr>
          <w:i/>
          <w:iCs/>
          <w:lang w:val="fr-FR"/>
        </w:rPr>
        <w:t>Prie</w:t>
      </w:r>
      <w:r>
        <w:rPr>
          <w:i/>
          <w:iCs/>
          <w:lang w:val="fr-FR"/>
        </w:rPr>
        <w:t xml:space="preserve"> le </w:t>
      </w:r>
      <w:r w:rsidRPr="002E41A8">
        <w:rPr>
          <w:lang w:val="fr-FR"/>
        </w:rPr>
        <w:t>secrétariat d</w:t>
      </w:r>
      <w:r>
        <w:rPr>
          <w:lang w:val="fr-FR"/>
        </w:rPr>
        <w:t>’</w:t>
      </w:r>
      <w:r w:rsidRPr="002E41A8">
        <w:rPr>
          <w:lang w:val="fr-FR"/>
        </w:rPr>
        <w:t>appuyer</w:t>
      </w:r>
      <w:r>
        <w:rPr>
          <w:lang w:val="fr-FR"/>
        </w:rPr>
        <w:t xml:space="preserve"> les activités</w:t>
      </w:r>
      <w:r w:rsidRPr="002E41A8">
        <w:rPr>
          <w:lang w:val="fr-FR"/>
        </w:rPr>
        <w:t xml:space="preserve"> </w:t>
      </w:r>
      <w:r>
        <w:rPr>
          <w:lang w:val="fr-FR"/>
        </w:rPr>
        <w:t>énoncée</w:t>
      </w:r>
      <w:r w:rsidRPr="002E41A8">
        <w:rPr>
          <w:lang w:val="fr-FR"/>
        </w:rPr>
        <w:t>s dans</w:t>
      </w:r>
      <w:r>
        <w:rPr>
          <w:lang w:val="fr-FR"/>
        </w:rPr>
        <w:t xml:space="preserve"> les </w:t>
      </w:r>
      <w:r w:rsidRPr="002E41A8">
        <w:rPr>
          <w:lang w:val="fr-FR"/>
        </w:rPr>
        <w:t>annexes I et II de</w:t>
      </w:r>
      <w:r>
        <w:rPr>
          <w:lang w:val="fr-FR"/>
        </w:rPr>
        <w:t xml:space="preserve"> la </w:t>
      </w:r>
      <w:r w:rsidRPr="002E41A8">
        <w:rPr>
          <w:lang w:val="fr-FR"/>
        </w:rPr>
        <w:t>présente décision ;</w:t>
      </w:r>
    </w:p>
    <w:p w14:paraId="5EF406BA" w14:textId="77777777" w:rsidR="003645F6" w:rsidRPr="002E41A8" w:rsidRDefault="003645F6" w:rsidP="003645F6">
      <w:pPr>
        <w:pStyle w:val="NormalNonumber"/>
        <w:rPr>
          <w:lang w:val="fr-FR"/>
        </w:rPr>
      </w:pPr>
      <w:r>
        <w:rPr>
          <w:iCs/>
          <w:lang w:val="fr-FR"/>
        </w:rPr>
        <w:tab/>
        <w:t>6.</w:t>
      </w:r>
      <w:r>
        <w:rPr>
          <w:iCs/>
          <w:lang w:val="fr-FR"/>
        </w:rPr>
        <w:tab/>
      </w:r>
      <w:r w:rsidRPr="002E41A8">
        <w:rPr>
          <w:i/>
          <w:iCs/>
          <w:lang w:val="fr-FR"/>
        </w:rPr>
        <w:t>Prie</w:t>
      </w:r>
      <w:r>
        <w:rPr>
          <w:i/>
          <w:iCs/>
          <w:lang w:val="fr-FR"/>
        </w:rPr>
        <w:t xml:space="preserve"> le </w:t>
      </w:r>
      <w:r w:rsidRPr="002E41A8">
        <w:rPr>
          <w:lang w:val="fr-FR"/>
        </w:rPr>
        <w:t>groupe spécial d</w:t>
      </w:r>
      <w:r>
        <w:rPr>
          <w:lang w:val="fr-FR"/>
        </w:rPr>
        <w:t>’</w:t>
      </w:r>
      <w:r w:rsidRPr="002E41A8">
        <w:rPr>
          <w:lang w:val="fr-FR"/>
        </w:rPr>
        <w:t>experts techniques de lui faire rapport à sa troisième réunion sur</w:t>
      </w:r>
      <w:r>
        <w:rPr>
          <w:lang w:val="fr-FR"/>
        </w:rPr>
        <w:t xml:space="preserve"> les </w:t>
      </w:r>
      <w:r w:rsidRPr="002E41A8">
        <w:rPr>
          <w:lang w:val="fr-FR"/>
        </w:rPr>
        <w:t>progrès accomplis dans l</w:t>
      </w:r>
      <w:r>
        <w:rPr>
          <w:lang w:val="fr-FR"/>
        </w:rPr>
        <w:t>’</w:t>
      </w:r>
      <w:r w:rsidRPr="002E41A8">
        <w:rPr>
          <w:lang w:val="fr-FR"/>
        </w:rPr>
        <w:t>amélioration du cadre d</w:t>
      </w:r>
      <w:r>
        <w:rPr>
          <w:lang w:val="fr-FR"/>
        </w:rPr>
        <w:t>’</w:t>
      </w:r>
      <w:r w:rsidRPr="002E41A8">
        <w:rPr>
          <w:lang w:val="fr-FR"/>
        </w:rPr>
        <w:t>évaluation de</w:t>
      </w:r>
      <w:r>
        <w:rPr>
          <w:lang w:val="fr-FR"/>
        </w:rPr>
        <w:t xml:space="preserve"> la </w:t>
      </w:r>
      <w:r w:rsidRPr="002E41A8">
        <w:rPr>
          <w:lang w:val="fr-FR"/>
        </w:rPr>
        <w:t>Convention, y compris</w:t>
      </w:r>
      <w:r>
        <w:rPr>
          <w:lang w:val="fr-FR"/>
        </w:rPr>
        <w:t xml:space="preserve"> les </w:t>
      </w:r>
      <w:r w:rsidRPr="002E41A8">
        <w:rPr>
          <w:lang w:val="fr-FR"/>
        </w:rPr>
        <w:t>arrangements en matière de surveillance ;</w:t>
      </w:r>
    </w:p>
    <w:p w14:paraId="52B307DA" w14:textId="77777777" w:rsidR="003645F6" w:rsidRPr="002E41A8" w:rsidRDefault="003645F6" w:rsidP="003645F6">
      <w:pPr>
        <w:pStyle w:val="NormalNonumber"/>
        <w:rPr>
          <w:lang w:val="fr-FR"/>
        </w:rPr>
      </w:pPr>
      <w:r>
        <w:rPr>
          <w:iCs/>
          <w:lang w:val="fr-FR"/>
        </w:rPr>
        <w:lastRenderedPageBreak/>
        <w:tab/>
        <w:t>7.</w:t>
      </w:r>
      <w:r>
        <w:rPr>
          <w:iCs/>
          <w:lang w:val="fr-FR"/>
        </w:rPr>
        <w:tab/>
      </w:r>
      <w:r w:rsidRPr="002E41A8">
        <w:rPr>
          <w:i/>
          <w:iCs/>
          <w:lang w:val="fr-FR"/>
        </w:rPr>
        <w:t>Invite</w:t>
      </w:r>
      <w:r>
        <w:rPr>
          <w:i/>
          <w:iCs/>
          <w:lang w:val="fr-FR"/>
        </w:rPr>
        <w:t xml:space="preserve"> le </w:t>
      </w:r>
      <w:r w:rsidRPr="002E41A8">
        <w:rPr>
          <w:lang w:val="fr-FR"/>
        </w:rPr>
        <w:t>Fonds pour l</w:t>
      </w:r>
      <w:r>
        <w:rPr>
          <w:lang w:val="fr-FR"/>
        </w:rPr>
        <w:t>’</w:t>
      </w:r>
      <w:r w:rsidRPr="002E41A8">
        <w:rPr>
          <w:lang w:val="fr-FR"/>
        </w:rPr>
        <w:t>environnement mondial</w:t>
      </w:r>
      <w:r w:rsidRPr="00E450F2">
        <w:rPr>
          <w:lang w:val="fr-FR"/>
        </w:rPr>
        <w:t xml:space="preserve"> d</w:t>
      </w:r>
      <w:r>
        <w:rPr>
          <w:lang w:val="fr-FR"/>
        </w:rPr>
        <w:t>’</w:t>
      </w:r>
      <w:r w:rsidRPr="00E450F2">
        <w:rPr>
          <w:lang w:val="fr-FR"/>
        </w:rPr>
        <w:t>envisager</w:t>
      </w:r>
      <w:r w:rsidRPr="002E41A8">
        <w:rPr>
          <w:lang w:val="fr-FR"/>
        </w:rPr>
        <w:t>, dans</w:t>
      </w:r>
      <w:r>
        <w:rPr>
          <w:lang w:val="fr-FR"/>
        </w:rPr>
        <w:t xml:space="preserve"> les </w:t>
      </w:r>
      <w:r w:rsidRPr="002E41A8">
        <w:rPr>
          <w:lang w:val="fr-FR"/>
        </w:rPr>
        <w:t>limites de son mandat</w:t>
      </w:r>
      <w:r>
        <w:rPr>
          <w:lang w:val="fr-FR"/>
        </w:rPr>
        <w:t xml:space="preserve"> et en s’en tenant aux orientations</w:t>
      </w:r>
      <w:r w:rsidRPr="002E41A8">
        <w:rPr>
          <w:lang w:val="fr-FR"/>
        </w:rPr>
        <w:t xml:space="preserve"> fournies par</w:t>
      </w:r>
      <w:r>
        <w:rPr>
          <w:lang w:val="fr-FR"/>
        </w:rPr>
        <w:t xml:space="preserve"> la </w:t>
      </w:r>
      <w:r w:rsidRPr="002E41A8">
        <w:rPr>
          <w:lang w:val="fr-FR"/>
        </w:rPr>
        <w:t>Conférence</w:t>
      </w:r>
      <w:r>
        <w:rPr>
          <w:lang w:val="fr-FR"/>
        </w:rPr>
        <w:t xml:space="preserve"> des </w:t>
      </w:r>
      <w:r w:rsidRPr="002E41A8">
        <w:rPr>
          <w:lang w:val="fr-FR"/>
        </w:rPr>
        <w:t>Parties</w:t>
      </w:r>
      <w:r>
        <w:rPr>
          <w:lang w:val="fr-FR"/>
        </w:rPr>
        <w:t>,</w:t>
      </w:r>
      <w:r w:rsidRPr="002E41A8">
        <w:rPr>
          <w:lang w:val="fr-FR"/>
        </w:rPr>
        <w:t xml:space="preserve"> d</w:t>
      </w:r>
      <w:r>
        <w:rPr>
          <w:lang w:val="fr-FR"/>
        </w:rPr>
        <w:t>’</w:t>
      </w:r>
      <w:r w:rsidRPr="002E41A8">
        <w:rPr>
          <w:lang w:val="fr-FR"/>
        </w:rPr>
        <w:t>aider</w:t>
      </w:r>
      <w:r>
        <w:rPr>
          <w:lang w:val="fr-FR"/>
        </w:rPr>
        <w:t xml:space="preserve"> les </w:t>
      </w:r>
      <w:r w:rsidRPr="002E41A8">
        <w:rPr>
          <w:lang w:val="fr-FR"/>
        </w:rPr>
        <w:t xml:space="preserve">Parties </w:t>
      </w:r>
      <w:r>
        <w:rPr>
          <w:lang w:val="fr-FR"/>
        </w:rPr>
        <w:t>qui remplissent les </w:t>
      </w:r>
      <w:r w:rsidRPr="002E41A8">
        <w:rPr>
          <w:lang w:val="fr-FR"/>
        </w:rPr>
        <w:t xml:space="preserve">conditions </w:t>
      </w:r>
      <w:r>
        <w:rPr>
          <w:lang w:val="fr-FR"/>
        </w:rPr>
        <w:t xml:space="preserve">voulues </w:t>
      </w:r>
      <w:r w:rsidRPr="002E41A8">
        <w:rPr>
          <w:lang w:val="fr-FR"/>
        </w:rPr>
        <w:t>à réunir</w:t>
      </w:r>
      <w:r>
        <w:rPr>
          <w:lang w:val="fr-FR"/>
        </w:rPr>
        <w:t xml:space="preserve"> des </w:t>
      </w:r>
      <w:r w:rsidRPr="002E41A8">
        <w:rPr>
          <w:lang w:val="fr-FR"/>
        </w:rPr>
        <w:t>données essentielles et de faciliter</w:t>
      </w:r>
      <w:r>
        <w:rPr>
          <w:lang w:val="fr-FR"/>
        </w:rPr>
        <w:t xml:space="preserve"> la </w:t>
      </w:r>
      <w:r w:rsidRPr="002E41A8">
        <w:rPr>
          <w:lang w:val="fr-FR"/>
        </w:rPr>
        <w:t>communication d</w:t>
      </w:r>
      <w:r>
        <w:rPr>
          <w:lang w:val="fr-FR"/>
        </w:rPr>
        <w:t>’</w:t>
      </w:r>
      <w:r w:rsidRPr="002E41A8">
        <w:rPr>
          <w:lang w:val="fr-FR"/>
        </w:rPr>
        <w:t>information</w:t>
      </w:r>
      <w:r>
        <w:rPr>
          <w:lang w:val="fr-FR"/>
        </w:rPr>
        <w:t>s</w:t>
      </w:r>
      <w:r w:rsidRPr="002E41A8">
        <w:rPr>
          <w:lang w:val="fr-FR"/>
        </w:rPr>
        <w:t xml:space="preserve"> </w:t>
      </w:r>
      <w:r>
        <w:rPr>
          <w:lang w:val="fr-FR"/>
        </w:rPr>
        <w:t>en matière de</w:t>
      </w:r>
      <w:r w:rsidRPr="002E41A8">
        <w:rPr>
          <w:lang w:val="fr-FR"/>
        </w:rPr>
        <w:t xml:space="preserve"> surveillance aux niveaux local, sous-régional, régional et mondial, afin de contribuer à l</w:t>
      </w:r>
      <w:r>
        <w:rPr>
          <w:lang w:val="fr-FR"/>
        </w:rPr>
        <w:t>’</w:t>
      </w:r>
      <w:r w:rsidRPr="002E41A8">
        <w:rPr>
          <w:lang w:val="fr-FR"/>
        </w:rPr>
        <w:t>évaluation de l</w:t>
      </w:r>
      <w:r>
        <w:rPr>
          <w:lang w:val="fr-FR"/>
        </w:rPr>
        <w:t>’</w:t>
      </w:r>
      <w:r w:rsidRPr="002E41A8">
        <w:rPr>
          <w:lang w:val="fr-FR"/>
        </w:rPr>
        <w:t>efficacité, conformément aux orientations du Fonds.</w:t>
      </w:r>
    </w:p>
    <w:p w14:paraId="394120D2" w14:textId="77777777" w:rsidR="003645F6" w:rsidRPr="003A0CFB" w:rsidRDefault="003645F6" w:rsidP="003645F6">
      <w:pPr>
        <w:pStyle w:val="CH2"/>
        <w:rPr>
          <w:lang w:val="fr-FR"/>
        </w:rPr>
      </w:pPr>
      <w:r>
        <w:rPr>
          <w:lang w:val="fr-FR"/>
        </w:rPr>
        <w:tab/>
      </w:r>
      <w:r>
        <w:rPr>
          <w:lang w:val="fr-FR"/>
        </w:rPr>
        <w:tab/>
      </w:r>
      <w:bookmarkStart w:id="6" w:name="_Toc13750081"/>
      <w:bookmarkStart w:id="7" w:name="_Toc14185199"/>
      <w:r w:rsidRPr="003A0CFB">
        <w:rPr>
          <w:lang w:val="fr-FR"/>
        </w:rPr>
        <w:t>Annexe I à</w:t>
      </w:r>
      <w:r>
        <w:rPr>
          <w:lang w:val="fr-FR"/>
        </w:rPr>
        <w:t xml:space="preserve"> la </w:t>
      </w:r>
      <w:r w:rsidRPr="003A0CFB">
        <w:rPr>
          <w:lang w:val="fr-FR"/>
        </w:rPr>
        <w:t>décision MC-2/10</w:t>
      </w:r>
      <w:bookmarkEnd w:id="6"/>
      <w:bookmarkEnd w:id="7"/>
    </w:p>
    <w:p w14:paraId="1294DDFA" w14:textId="77777777" w:rsidR="003645F6" w:rsidRPr="003A0CFB" w:rsidRDefault="003645F6" w:rsidP="003645F6">
      <w:pPr>
        <w:pStyle w:val="CH2"/>
        <w:rPr>
          <w:lang w:val="fr-FR"/>
        </w:rPr>
      </w:pPr>
      <w:r>
        <w:rPr>
          <w:lang w:val="fr-FR"/>
        </w:rPr>
        <w:tab/>
      </w:r>
      <w:r>
        <w:rPr>
          <w:lang w:val="fr-FR"/>
        </w:rPr>
        <w:tab/>
      </w:r>
      <w:bookmarkStart w:id="8" w:name="_Toc13750082"/>
      <w:bookmarkStart w:id="9" w:name="_Toc14185200"/>
      <w:r w:rsidRPr="003A0CFB">
        <w:rPr>
          <w:lang w:val="fr-FR"/>
        </w:rPr>
        <w:t>Mandat révisé du groupe spécial d</w:t>
      </w:r>
      <w:r>
        <w:rPr>
          <w:lang w:val="fr-FR"/>
        </w:rPr>
        <w:t>’</w:t>
      </w:r>
      <w:r w:rsidRPr="003A0CFB">
        <w:rPr>
          <w:lang w:val="fr-FR"/>
        </w:rPr>
        <w:t>experts techniques sur l</w:t>
      </w:r>
      <w:r>
        <w:rPr>
          <w:lang w:val="fr-FR"/>
        </w:rPr>
        <w:t>’</w:t>
      </w:r>
      <w:r w:rsidRPr="003A0CFB">
        <w:rPr>
          <w:lang w:val="fr-FR"/>
        </w:rPr>
        <w:t>évaluation de l</w:t>
      </w:r>
      <w:r>
        <w:rPr>
          <w:lang w:val="fr-FR"/>
        </w:rPr>
        <w:t>’</w:t>
      </w:r>
      <w:r w:rsidRPr="003A0CFB">
        <w:rPr>
          <w:lang w:val="fr-FR"/>
        </w:rPr>
        <w:t>efficacité</w:t>
      </w:r>
      <w:r w:rsidRPr="003A0CFB">
        <w:rPr>
          <w:vertAlign w:val="superscript"/>
          <w:lang w:val="fr-FR"/>
        </w:rPr>
        <w:footnoteReference w:id="3"/>
      </w:r>
      <w:bookmarkEnd w:id="8"/>
      <w:bookmarkEnd w:id="9"/>
    </w:p>
    <w:p w14:paraId="74147072" w14:textId="77777777" w:rsidR="003645F6" w:rsidRPr="002E41A8" w:rsidRDefault="003645F6" w:rsidP="003645F6">
      <w:pPr>
        <w:pStyle w:val="CH1"/>
        <w:rPr>
          <w:lang w:val="fr-FR"/>
        </w:rPr>
      </w:pPr>
      <w:r>
        <w:rPr>
          <w:lang w:val="fr-FR"/>
        </w:rPr>
        <w:tab/>
      </w:r>
      <w:bookmarkStart w:id="10" w:name="_Toc13750083"/>
      <w:bookmarkStart w:id="11" w:name="_Toc14185201"/>
      <w:r w:rsidRPr="002E41A8">
        <w:rPr>
          <w:lang w:val="fr-FR"/>
        </w:rPr>
        <w:t>I.</w:t>
      </w:r>
      <w:r w:rsidRPr="002E41A8">
        <w:rPr>
          <w:lang w:val="fr-FR"/>
        </w:rPr>
        <w:tab/>
        <w:t>Mandat révisé</w:t>
      </w:r>
      <w:bookmarkStart w:id="12" w:name="_Toc7079451"/>
      <w:bookmarkEnd w:id="10"/>
      <w:bookmarkEnd w:id="11"/>
      <w:bookmarkEnd w:id="12"/>
    </w:p>
    <w:p w14:paraId="4F2AC132" w14:textId="77777777" w:rsidR="003645F6" w:rsidRPr="002E41A8" w:rsidRDefault="003645F6" w:rsidP="003645F6">
      <w:pPr>
        <w:pStyle w:val="NormalNonumber"/>
      </w:pPr>
      <w:r w:rsidRPr="002E41A8">
        <w:t>1.</w:t>
      </w:r>
      <w:r w:rsidRPr="002E41A8">
        <w:tab/>
        <w:t>Le groupe spécial d</w:t>
      </w:r>
      <w:r>
        <w:t>’</w:t>
      </w:r>
      <w:r w:rsidRPr="002E41A8">
        <w:t xml:space="preserve">experts techniques </w:t>
      </w:r>
      <w:r>
        <w:t>élabore plus avant le </w:t>
      </w:r>
      <w:r w:rsidRPr="002E41A8">
        <w:t xml:space="preserve">document UNEP/MC/COP.2/INF/8 </w:t>
      </w:r>
      <w:r>
        <w:t>en suivant le </w:t>
      </w:r>
      <w:r w:rsidRPr="002E41A8">
        <w:t xml:space="preserve">plan </w:t>
      </w:r>
      <w:r>
        <w:t>ci-après</w:t>
      </w:r>
      <w:r w:rsidRPr="002E41A8">
        <w:t> :</w:t>
      </w:r>
    </w:p>
    <w:p w14:paraId="364277B4" w14:textId="77777777" w:rsidR="003645F6" w:rsidRPr="002E41A8" w:rsidRDefault="003645F6" w:rsidP="003645F6">
      <w:pPr>
        <w:pStyle w:val="NormalNonumber"/>
      </w:pPr>
      <w:r>
        <w:tab/>
        <w:t>a)</w:t>
      </w:r>
      <w:r>
        <w:tab/>
      </w:r>
      <w:r w:rsidRPr="002E41A8">
        <w:t>Résumé analytique</w:t>
      </w:r>
    </w:p>
    <w:p w14:paraId="2EF6F461" w14:textId="77777777" w:rsidR="003645F6" w:rsidRPr="002E41A8" w:rsidRDefault="003645F6" w:rsidP="003645F6">
      <w:pPr>
        <w:pStyle w:val="NormalNonumber"/>
        <w:rPr>
          <w:lang w:val="fr-FR"/>
        </w:rPr>
      </w:pPr>
      <w:r>
        <w:rPr>
          <w:lang w:val="fr-FR"/>
        </w:rPr>
        <w:tab/>
        <w:t>b)</w:t>
      </w:r>
      <w:r>
        <w:rPr>
          <w:lang w:val="fr-FR"/>
        </w:rPr>
        <w:tab/>
      </w:r>
      <w:r w:rsidRPr="002E41A8">
        <w:rPr>
          <w:lang w:val="fr-FR"/>
        </w:rPr>
        <w:t>Introduction</w:t>
      </w:r>
    </w:p>
    <w:p w14:paraId="530A0BB9" w14:textId="77777777" w:rsidR="003645F6" w:rsidRPr="002E41A8" w:rsidRDefault="003645F6" w:rsidP="003645F6">
      <w:pPr>
        <w:pStyle w:val="NormalNonumber"/>
        <w:rPr>
          <w:lang w:val="fr-FR"/>
        </w:rPr>
      </w:pPr>
      <w:r>
        <w:rPr>
          <w:lang w:val="fr-FR"/>
        </w:rPr>
        <w:tab/>
        <w:t>c)</w:t>
      </w:r>
      <w:r>
        <w:rPr>
          <w:lang w:val="fr-FR"/>
        </w:rPr>
        <w:tab/>
      </w:r>
      <w:r w:rsidRPr="002E41A8">
        <w:rPr>
          <w:lang w:val="fr-FR"/>
        </w:rPr>
        <w:t>Description du cadre de l</w:t>
      </w:r>
      <w:r>
        <w:rPr>
          <w:lang w:val="fr-FR"/>
        </w:rPr>
        <w:t>’</w:t>
      </w:r>
      <w:r w:rsidRPr="002E41A8">
        <w:rPr>
          <w:lang w:val="fr-FR"/>
        </w:rPr>
        <w:t>évaluation de l</w:t>
      </w:r>
      <w:r>
        <w:rPr>
          <w:lang w:val="fr-FR"/>
        </w:rPr>
        <w:t>’</w:t>
      </w:r>
      <w:r w:rsidRPr="002E41A8">
        <w:rPr>
          <w:lang w:val="fr-FR"/>
        </w:rPr>
        <w:t>efficacité</w:t>
      </w:r>
    </w:p>
    <w:p w14:paraId="437093EB" w14:textId="77777777" w:rsidR="003645F6" w:rsidRPr="002E41A8" w:rsidRDefault="003645F6" w:rsidP="003645F6">
      <w:pPr>
        <w:pStyle w:val="NormalNonumber"/>
        <w:rPr>
          <w:lang w:val="fr-FR"/>
        </w:rPr>
      </w:pPr>
      <w:r>
        <w:rPr>
          <w:lang w:val="fr-FR"/>
        </w:rPr>
        <w:tab/>
        <w:t>d)</w:t>
      </w:r>
      <w:r>
        <w:rPr>
          <w:lang w:val="fr-FR"/>
        </w:rPr>
        <w:tab/>
      </w:r>
      <w:r w:rsidRPr="002E41A8">
        <w:rPr>
          <w:lang w:val="fr-FR"/>
        </w:rPr>
        <w:t>Méthode proposée et calendrier de l</w:t>
      </w:r>
      <w:r>
        <w:rPr>
          <w:lang w:val="fr-FR"/>
        </w:rPr>
        <w:t>’</w:t>
      </w:r>
      <w:r w:rsidRPr="002E41A8">
        <w:rPr>
          <w:lang w:val="fr-FR"/>
        </w:rPr>
        <w:t>évaluation</w:t>
      </w:r>
    </w:p>
    <w:p w14:paraId="50E784CC" w14:textId="77777777" w:rsidR="003645F6" w:rsidRPr="002E41A8" w:rsidRDefault="003645F6" w:rsidP="003645F6">
      <w:pPr>
        <w:pStyle w:val="NormalNonumber"/>
        <w:rPr>
          <w:lang w:val="fr-FR"/>
        </w:rPr>
      </w:pPr>
      <w:r>
        <w:rPr>
          <w:lang w:val="fr-FR"/>
        </w:rPr>
        <w:tab/>
        <w:t>e)</w:t>
      </w:r>
      <w:r>
        <w:rPr>
          <w:lang w:val="fr-FR"/>
        </w:rPr>
        <w:tab/>
      </w:r>
      <w:r w:rsidRPr="002E41A8">
        <w:rPr>
          <w:lang w:val="fr-FR"/>
        </w:rPr>
        <w:t>Éventuelles questions à examiner plus avant</w:t>
      </w:r>
    </w:p>
    <w:p w14:paraId="5CDE6B90" w14:textId="77777777" w:rsidR="003645F6" w:rsidRPr="002E41A8" w:rsidRDefault="003645F6" w:rsidP="003645F6">
      <w:pPr>
        <w:pStyle w:val="NormalNonumber"/>
        <w:rPr>
          <w:lang w:val="fr-FR"/>
        </w:rPr>
      </w:pPr>
      <w:r>
        <w:rPr>
          <w:lang w:val="fr-FR"/>
        </w:rPr>
        <w:tab/>
        <w:t>f)</w:t>
      </w:r>
      <w:r>
        <w:rPr>
          <w:lang w:val="fr-FR"/>
        </w:rPr>
        <w:tab/>
      </w:r>
      <w:r w:rsidRPr="002E41A8">
        <w:rPr>
          <w:lang w:val="fr-FR"/>
        </w:rPr>
        <w:t xml:space="preserve">Annexe I : </w:t>
      </w:r>
      <w:r>
        <w:rPr>
          <w:lang w:val="fr-FR"/>
        </w:rPr>
        <w:t>É</w:t>
      </w:r>
      <w:r w:rsidRPr="002E41A8">
        <w:rPr>
          <w:lang w:val="fr-FR"/>
        </w:rPr>
        <w:t>ventuelles informations techniques sur</w:t>
      </w:r>
      <w:r>
        <w:rPr>
          <w:lang w:val="fr-FR"/>
        </w:rPr>
        <w:t xml:space="preserve"> la </w:t>
      </w:r>
      <w:r w:rsidRPr="002E41A8">
        <w:rPr>
          <w:lang w:val="fr-FR"/>
        </w:rPr>
        <w:t>surveillance</w:t>
      </w:r>
    </w:p>
    <w:p w14:paraId="5BD14AE7" w14:textId="77777777" w:rsidR="003645F6" w:rsidRPr="002E41A8" w:rsidRDefault="003645F6" w:rsidP="003645F6">
      <w:pPr>
        <w:pStyle w:val="NormalNonumber"/>
        <w:rPr>
          <w:lang w:val="fr-FR"/>
        </w:rPr>
      </w:pPr>
      <w:r>
        <w:rPr>
          <w:lang w:val="fr-FR"/>
        </w:rPr>
        <w:tab/>
        <w:t>g)</w:t>
      </w:r>
      <w:r>
        <w:rPr>
          <w:lang w:val="fr-FR"/>
        </w:rPr>
        <w:tab/>
      </w:r>
      <w:r w:rsidRPr="002E41A8">
        <w:rPr>
          <w:lang w:val="fr-FR"/>
        </w:rPr>
        <w:t xml:space="preserve">Annexe II : </w:t>
      </w:r>
      <w:r>
        <w:rPr>
          <w:lang w:val="fr-FR"/>
        </w:rPr>
        <w:t>P</w:t>
      </w:r>
      <w:r w:rsidRPr="002E41A8">
        <w:rPr>
          <w:lang w:val="fr-FR"/>
        </w:rPr>
        <w:t>rojet de mandat du Comité d</w:t>
      </w:r>
      <w:r>
        <w:rPr>
          <w:lang w:val="fr-FR"/>
        </w:rPr>
        <w:t>’</w:t>
      </w:r>
      <w:r w:rsidRPr="002E41A8">
        <w:rPr>
          <w:lang w:val="fr-FR"/>
        </w:rPr>
        <w:t>évaluation de l</w:t>
      </w:r>
      <w:r>
        <w:rPr>
          <w:lang w:val="fr-FR"/>
        </w:rPr>
        <w:t>’</w:t>
      </w:r>
      <w:r w:rsidRPr="002E41A8">
        <w:rPr>
          <w:lang w:val="fr-FR"/>
        </w:rPr>
        <w:t>efficacité</w:t>
      </w:r>
    </w:p>
    <w:p w14:paraId="073366B9" w14:textId="77777777" w:rsidR="003645F6" w:rsidRPr="002E41A8" w:rsidRDefault="003645F6" w:rsidP="003645F6">
      <w:pPr>
        <w:pStyle w:val="NormalNonumber"/>
        <w:rPr>
          <w:lang w:val="fr-FR"/>
        </w:rPr>
      </w:pPr>
      <w:r>
        <w:rPr>
          <w:lang w:val="fr-FR"/>
        </w:rPr>
        <w:tab/>
        <w:t>h)</w:t>
      </w:r>
      <w:r>
        <w:rPr>
          <w:lang w:val="fr-FR"/>
        </w:rPr>
        <w:tab/>
      </w:r>
      <w:r w:rsidRPr="002E41A8">
        <w:rPr>
          <w:lang w:val="fr-FR"/>
        </w:rPr>
        <w:t xml:space="preserve">Annexe III : </w:t>
      </w:r>
      <w:r>
        <w:rPr>
          <w:lang w:val="fr-FR"/>
        </w:rPr>
        <w:t>P</w:t>
      </w:r>
      <w:r w:rsidRPr="002E41A8">
        <w:rPr>
          <w:lang w:val="fr-FR"/>
        </w:rPr>
        <w:t>rojet de mandat pour</w:t>
      </w:r>
      <w:r>
        <w:rPr>
          <w:lang w:val="fr-FR"/>
        </w:rPr>
        <w:t xml:space="preserve"> la </w:t>
      </w:r>
      <w:r w:rsidRPr="002E41A8">
        <w:rPr>
          <w:lang w:val="fr-FR"/>
        </w:rPr>
        <w:t>mise en place à l</w:t>
      </w:r>
      <w:r>
        <w:rPr>
          <w:lang w:val="fr-FR"/>
        </w:rPr>
        <w:t>’</w:t>
      </w:r>
      <w:r w:rsidRPr="002E41A8">
        <w:rPr>
          <w:lang w:val="fr-FR"/>
        </w:rPr>
        <w:t>échelle mondiale d</w:t>
      </w:r>
      <w:r>
        <w:rPr>
          <w:lang w:val="fr-FR"/>
        </w:rPr>
        <w:t>’</w:t>
      </w:r>
      <w:r w:rsidRPr="002E41A8">
        <w:rPr>
          <w:lang w:val="fr-FR"/>
        </w:rPr>
        <w:t>arrangements en matière de surveillance.</w:t>
      </w:r>
    </w:p>
    <w:p w14:paraId="59F882C6" w14:textId="77777777" w:rsidR="003645F6" w:rsidRPr="002E41A8" w:rsidRDefault="003645F6" w:rsidP="003645F6">
      <w:pPr>
        <w:pStyle w:val="NormalNonumber"/>
        <w:rPr>
          <w:lang w:val="fr-FR"/>
        </w:rPr>
      </w:pPr>
      <w:r>
        <w:rPr>
          <w:lang w:val="fr-FR"/>
        </w:rPr>
        <w:t>2.</w:t>
      </w:r>
      <w:r>
        <w:rPr>
          <w:lang w:val="fr-FR"/>
        </w:rPr>
        <w:tab/>
      </w:r>
      <w:r w:rsidRPr="002E41A8">
        <w:rPr>
          <w:lang w:val="fr-FR"/>
        </w:rPr>
        <w:t>S</w:t>
      </w:r>
      <w:r>
        <w:rPr>
          <w:lang w:val="fr-FR"/>
        </w:rPr>
        <w:t>’</w:t>
      </w:r>
      <w:r w:rsidRPr="002E41A8">
        <w:rPr>
          <w:lang w:val="fr-FR"/>
        </w:rPr>
        <w:t>agissant du cadre de l</w:t>
      </w:r>
      <w:r>
        <w:rPr>
          <w:lang w:val="fr-FR"/>
        </w:rPr>
        <w:t>’</w:t>
      </w:r>
      <w:r w:rsidRPr="002E41A8">
        <w:rPr>
          <w:lang w:val="fr-FR"/>
        </w:rPr>
        <w:t>évaluation de l</w:t>
      </w:r>
      <w:r>
        <w:rPr>
          <w:lang w:val="fr-FR"/>
        </w:rPr>
        <w:t>’</w:t>
      </w:r>
      <w:r w:rsidRPr="002E41A8">
        <w:rPr>
          <w:lang w:val="fr-FR"/>
        </w:rPr>
        <w:t>efficacité,</w:t>
      </w:r>
      <w:r>
        <w:rPr>
          <w:lang w:val="fr-FR"/>
        </w:rPr>
        <w:t xml:space="preserve"> le </w:t>
      </w:r>
      <w:r w:rsidRPr="002E41A8">
        <w:rPr>
          <w:lang w:val="fr-FR"/>
        </w:rPr>
        <w:t>groupe spécial d</w:t>
      </w:r>
      <w:r>
        <w:rPr>
          <w:lang w:val="fr-FR"/>
        </w:rPr>
        <w:t>’</w:t>
      </w:r>
      <w:r w:rsidRPr="002E41A8">
        <w:rPr>
          <w:lang w:val="fr-FR"/>
        </w:rPr>
        <w:t>experts techniques entreprend</w:t>
      </w:r>
      <w:r>
        <w:rPr>
          <w:lang w:val="fr-FR"/>
        </w:rPr>
        <w:t xml:space="preserve"> les </w:t>
      </w:r>
      <w:r w:rsidRPr="002E41A8">
        <w:rPr>
          <w:lang w:val="fr-FR"/>
        </w:rPr>
        <w:t xml:space="preserve">activités </w:t>
      </w:r>
      <w:r>
        <w:rPr>
          <w:lang w:val="fr-FR"/>
        </w:rPr>
        <w:t>ci-après</w:t>
      </w:r>
      <w:r w:rsidRPr="002E41A8">
        <w:rPr>
          <w:lang w:val="fr-FR"/>
        </w:rPr>
        <w:t> :</w:t>
      </w:r>
    </w:p>
    <w:p w14:paraId="2DBDCF48" w14:textId="77777777" w:rsidR="003645F6" w:rsidRPr="002E41A8" w:rsidRDefault="003645F6" w:rsidP="003645F6">
      <w:pPr>
        <w:pStyle w:val="NormalNonumber"/>
        <w:rPr>
          <w:lang w:val="fr-FR"/>
        </w:rPr>
      </w:pPr>
      <w:r>
        <w:rPr>
          <w:lang w:val="fr-FR"/>
        </w:rPr>
        <w:tab/>
        <w:t>a)</w:t>
      </w:r>
      <w:r>
        <w:rPr>
          <w:lang w:val="fr-FR"/>
        </w:rPr>
        <w:tab/>
      </w:r>
      <w:r w:rsidRPr="002E41A8">
        <w:rPr>
          <w:lang w:val="fr-FR"/>
        </w:rPr>
        <w:t>En s</w:t>
      </w:r>
      <w:r>
        <w:rPr>
          <w:lang w:val="fr-FR"/>
        </w:rPr>
        <w:t>’</w:t>
      </w:r>
      <w:r w:rsidRPr="002E41A8">
        <w:rPr>
          <w:lang w:val="fr-FR"/>
        </w:rPr>
        <w:t>appuyant sur l</w:t>
      </w:r>
      <w:r>
        <w:rPr>
          <w:lang w:val="fr-FR"/>
        </w:rPr>
        <w:t>’</w:t>
      </w:r>
      <w:r w:rsidRPr="002E41A8">
        <w:rPr>
          <w:lang w:val="fr-FR"/>
        </w:rPr>
        <w:t>objectif de</w:t>
      </w:r>
      <w:r>
        <w:rPr>
          <w:lang w:val="fr-FR"/>
        </w:rPr>
        <w:t xml:space="preserve"> la </w:t>
      </w:r>
      <w:r w:rsidRPr="002E41A8">
        <w:rPr>
          <w:lang w:val="fr-FR"/>
        </w:rPr>
        <w:t>Convention de Minamata, examiner et évaluer</w:t>
      </w:r>
      <w:r>
        <w:rPr>
          <w:lang w:val="fr-FR"/>
        </w:rPr>
        <w:t xml:space="preserve"> les </w:t>
      </w:r>
      <w:r w:rsidRPr="002E41A8">
        <w:rPr>
          <w:lang w:val="fr-FR"/>
        </w:rPr>
        <w:t>indicateurs de processus et de résultat détaillés article par article dans</w:t>
      </w:r>
      <w:r>
        <w:rPr>
          <w:lang w:val="fr-FR"/>
        </w:rPr>
        <w:t xml:space="preserve"> le </w:t>
      </w:r>
      <w:r w:rsidRPr="002E41A8">
        <w:rPr>
          <w:lang w:val="fr-FR"/>
        </w:rPr>
        <w:t>tableau 4 du document</w:t>
      </w:r>
      <w:r>
        <w:rPr>
          <w:lang w:val="fr-FR"/>
        </w:rPr>
        <w:t> </w:t>
      </w:r>
      <w:r w:rsidRPr="002E41A8">
        <w:rPr>
          <w:lang w:val="fr-FR"/>
        </w:rPr>
        <w:t>UNEP/MC/COP.2/INF/8</w:t>
      </w:r>
      <w:r>
        <w:rPr>
          <w:lang w:val="fr-FR"/>
        </w:rPr>
        <w:t>,</w:t>
      </w:r>
      <w:r w:rsidRPr="002E41A8">
        <w:rPr>
          <w:lang w:val="fr-FR"/>
        </w:rPr>
        <w:t xml:space="preserve"> </w:t>
      </w:r>
      <w:r>
        <w:rPr>
          <w:lang w:val="fr-FR"/>
        </w:rPr>
        <w:t>préciser les </w:t>
      </w:r>
      <w:r w:rsidRPr="002E41A8">
        <w:rPr>
          <w:lang w:val="fr-FR"/>
        </w:rPr>
        <w:t>sources d</w:t>
      </w:r>
      <w:r>
        <w:rPr>
          <w:lang w:val="fr-FR"/>
        </w:rPr>
        <w:t>’</w:t>
      </w:r>
      <w:r w:rsidRPr="002E41A8">
        <w:rPr>
          <w:lang w:val="fr-FR"/>
        </w:rPr>
        <w:t>information et</w:t>
      </w:r>
      <w:r>
        <w:rPr>
          <w:lang w:val="fr-FR"/>
        </w:rPr>
        <w:t xml:space="preserve"> les points de comparaison pour</w:t>
      </w:r>
      <w:r w:rsidRPr="002E41A8">
        <w:rPr>
          <w:lang w:val="fr-FR"/>
        </w:rPr>
        <w:t xml:space="preserve"> ces indicateurs, en tenant compte d</w:t>
      </w:r>
      <w:r>
        <w:rPr>
          <w:lang w:val="fr-FR"/>
        </w:rPr>
        <w:t>u rapport coût-efficacité</w:t>
      </w:r>
      <w:r w:rsidRPr="009A3533">
        <w:rPr>
          <w:lang w:val="fr-FR"/>
        </w:rPr>
        <w:t xml:space="preserve">, </w:t>
      </w:r>
      <w:r>
        <w:rPr>
          <w:lang w:val="fr-FR"/>
        </w:rPr>
        <w:t>de l’utili</w:t>
      </w:r>
      <w:r w:rsidRPr="009A3533">
        <w:rPr>
          <w:lang w:val="fr-FR"/>
        </w:rPr>
        <w:t xml:space="preserve">té, </w:t>
      </w:r>
      <w:r>
        <w:rPr>
          <w:lang w:val="fr-FR"/>
        </w:rPr>
        <w:t>de la </w:t>
      </w:r>
      <w:r w:rsidRPr="009A3533">
        <w:rPr>
          <w:lang w:val="fr-FR"/>
        </w:rPr>
        <w:t xml:space="preserve">faisabilité et </w:t>
      </w:r>
      <w:r>
        <w:rPr>
          <w:lang w:val="fr-FR"/>
        </w:rPr>
        <w:t>de la </w:t>
      </w:r>
      <w:r w:rsidRPr="009A3533">
        <w:rPr>
          <w:lang w:val="fr-FR"/>
        </w:rPr>
        <w:t>durabilité</w:t>
      </w:r>
      <w:r>
        <w:rPr>
          <w:lang w:val="fr-FR"/>
        </w:rPr>
        <w:t>,</w:t>
      </w:r>
      <w:r w:rsidRPr="002E41A8">
        <w:rPr>
          <w:lang w:val="fr-FR"/>
        </w:rPr>
        <w:t xml:space="preserve"> et, sur cette base, fournir</w:t>
      </w:r>
      <w:r>
        <w:rPr>
          <w:lang w:val="fr-FR"/>
        </w:rPr>
        <w:t xml:space="preserve"> des </w:t>
      </w:r>
      <w:r w:rsidRPr="002E41A8">
        <w:rPr>
          <w:lang w:val="fr-FR"/>
        </w:rPr>
        <w:t>justifications détaillées pour</w:t>
      </w:r>
      <w:r>
        <w:rPr>
          <w:lang w:val="fr-FR"/>
        </w:rPr>
        <w:t xml:space="preserve"> les </w:t>
      </w:r>
      <w:r w:rsidRPr="002E41A8">
        <w:rPr>
          <w:lang w:val="fr-FR"/>
        </w:rPr>
        <w:t>indicateurs recommandés ;</w:t>
      </w:r>
    </w:p>
    <w:p w14:paraId="65C5BF77" w14:textId="77777777" w:rsidR="003645F6" w:rsidRPr="002E41A8" w:rsidRDefault="003645F6" w:rsidP="003645F6">
      <w:pPr>
        <w:pStyle w:val="NormalNonumber"/>
        <w:rPr>
          <w:lang w:val="fr-FR"/>
        </w:rPr>
      </w:pPr>
      <w:r>
        <w:rPr>
          <w:lang w:val="fr-FR"/>
        </w:rPr>
        <w:tab/>
        <w:t>b)</w:t>
      </w:r>
      <w:r>
        <w:rPr>
          <w:lang w:val="fr-FR"/>
        </w:rPr>
        <w:tab/>
      </w:r>
      <w:r w:rsidRPr="002E41A8">
        <w:rPr>
          <w:lang w:val="fr-FR"/>
        </w:rPr>
        <w:t>Déterminer ceux</w:t>
      </w:r>
      <w:r>
        <w:rPr>
          <w:lang w:val="fr-FR"/>
        </w:rPr>
        <w:t xml:space="preserve"> des </w:t>
      </w:r>
      <w:r w:rsidRPr="002E41A8">
        <w:rPr>
          <w:lang w:val="fr-FR"/>
        </w:rPr>
        <w:t>indicateurs recommandés pour lesquels</w:t>
      </w:r>
      <w:r>
        <w:rPr>
          <w:lang w:val="fr-FR"/>
        </w:rPr>
        <w:t xml:space="preserve"> des </w:t>
      </w:r>
      <w:r w:rsidRPr="002E41A8">
        <w:rPr>
          <w:lang w:val="fr-FR"/>
        </w:rPr>
        <w:t>données de surveillance sont requises, en particulier en ce qui concerne</w:t>
      </w:r>
      <w:r>
        <w:rPr>
          <w:lang w:val="fr-FR"/>
        </w:rPr>
        <w:t xml:space="preserve"> les </w:t>
      </w:r>
      <w:r w:rsidRPr="002E41A8">
        <w:rPr>
          <w:lang w:val="fr-FR"/>
        </w:rPr>
        <w:t>mesures de contrôle et</w:t>
      </w:r>
      <w:r>
        <w:rPr>
          <w:lang w:val="fr-FR"/>
        </w:rPr>
        <w:t xml:space="preserve"> les </w:t>
      </w:r>
      <w:r w:rsidRPr="002E41A8">
        <w:rPr>
          <w:lang w:val="fr-FR"/>
        </w:rPr>
        <w:t>objectifs énoncés dans</w:t>
      </w:r>
      <w:r>
        <w:rPr>
          <w:lang w:val="fr-FR"/>
        </w:rPr>
        <w:t xml:space="preserve"> les </w:t>
      </w:r>
      <w:r w:rsidRPr="002E41A8">
        <w:rPr>
          <w:lang w:val="fr-FR"/>
        </w:rPr>
        <w:t>articles de</w:t>
      </w:r>
      <w:r>
        <w:rPr>
          <w:lang w:val="fr-FR"/>
        </w:rPr>
        <w:t xml:space="preserve"> la </w:t>
      </w:r>
      <w:r w:rsidRPr="002E41A8">
        <w:rPr>
          <w:lang w:val="fr-FR"/>
        </w:rPr>
        <w:t>Convention ;</w:t>
      </w:r>
    </w:p>
    <w:p w14:paraId="6E4F2EEA" w14:textId="77777777" w:rsidR="003645F6" w:rsidRPr="002E41A8" w:rsidRDefault="003645F6" w:rsidP="003645F6">
      <w:pPr>
        <w:pStyle w:val="NormalNonumber"/>
        <w:rPr>
          <w:lang w:val="fr-FR"/>
        </w:rPr>
      </w:pPr>
      <w:r>
        <w:rPr>
          <w:lang w:val="fr-FR"/>
        </w:rPr>
        <w:tab/>
        <w:t>c)</w:t>
      </w:r>
      <w:r>
        <w:rPr>
          <w:lang w:val="fr-FR"/>
        </w:rPr>
        <w:tab/>
      </w:r>
      <w:r w:rsidRPr="002E41A8">
        <w:rPr>
          <w:lang w:val="fr-FR"/>
        </w:rPr>
        <w:t>Élaborer</w:t>
      </w:r>
      <w:r>
        <w:rPr>
          <w:lang w:val="fr-FR"/>
        </w:rPr>
        <w:t xml:space="preserve"> une </w:t>
      </w:r>
      <w:r w:rsidRPr="002E41A8">
        <w:rPr>
          <w:lang w:val="fr-FR"/>
        </w:rPr>
        <w:t>méthode pour intégrer</w:t>
      </w:r>
      <w:r>
        <w:rPr>
          <w:lang w:val="fr-FR"/>
        </w:rPr>
        <w:t xml:space="preserve"> les </w:t>
      </w:r>
      <w:r w:rsidRPr="002E41A8">
        <w:rPr>
          <w:lang w:val="fr-FR"/>
        </w:rPr>
        <w:t>indicateurs recommandés en vue de donner</w:t>
      </w:r>
      <w:r>
        <w:rPr>
          <w:lang w:val="fr-FR"/>
        </w:rPr>
        <w:t xml:space="preserve"> une </w:t>
      </w:r>
      <w:r w:rsidRPr="002E41A8">
        <w:rPr>
          <w:lang w:val="fr-FR"/>
        </w:rPr>
        <w:t>image synthétique de l</w:t>
      </w:r>
      <w:r>
        <w:rPr>
          <w:lang w:val="fr-FR"/>
        </w:rPr>
        <w:t>’</w:t>
      </w:r>
      <w:r w:rsidRPr="002E41A8">
        <w:rPr>
          <w:lang w:val="fr-FR"/>
        </w:rPr>
        <w:t>efficacité globale de</w:t>
      </w:r>
      <w:r>
        <w:rPr>
          <w:lang w:val="fr-FR"/>
        </w:rPr>
        <w:t xml:space="preserve"> la </w:t>
      </w:r>
      <w:r w:rsidRPr="002E41A8">
        <w:rPr>
          <w:lang w:val="fr-FR"/>
        </w:rPr>
        <w:t>Convention (par exemple, en utilisant</w:t>
      </w:r>
      <w:r>
        <w:rPr>
          <w:lang w:val="fr-FR"/>
        </w:rPr>
        <w:t xml:space="preserve"> des </w:t>
      </w:r>
      <w:r w:rsidRPr="002E41A8">
        <w:rPr>
          <w:lang w:val="fr-FR"/>
        </w:rPr>
        <w:t>indicateurs composites ou transversaux) ;</w:t>
      </w:r>
    </w:p>
    <w:p w14:paraId="6EC7BC6B" w14:textId="77777777" w:rsidR="003645F6" w:rsidRPr="002E41A8" w:rsidRDefault="003645F6" w:rsidP="003645F6">
      <w:pPr>
        <w:pStyle w:val="NormalNonumber"/>
        <w:rPr>
          <w:lang w:val="fr-FR"/>
        </w:rPr>
      </w:pPr>
      <w:r>
        <w:rPr>
          <w:lang w:val="fr-FR"/>
        </w:rPr>
        <w:tab/>
        <w:t>d)</w:t>
      </w:r>
      <w:r>
        <w:rPr>
          <w:lang w:val="fr-FR"/>
        </w:rPr>
        <w:tab/>
      </w:r>
      <w:r w:rsidRPr="002E41A8">
        <w:rPr>
          <w:lang w:val="fr-FR"/>
        </w:rPr>
        <w:t>Réviser</w:t>
      </w:r>
      <w:r>
        <w:rPr>
          <w:lang w:val="fr-FR"/>
        </w:rPr>
        <w:t xml:space="preserve"> le </w:t>
      </w:r>
      <w:r w:rsidRPr="002E41A8">
        <w:rPr>
          <w:lang w:val="fr-FR"/>
        </w:rPr>
        <w:t>projet de mandat recommandé</w:t>
      </w:r>
      <w:r>
        <w:rPr>
          <w:lang w:val="fr-FR"/>
        </w:rPr>
        <w:t xml:space="preserve"> </w:t>
      </w:r>
      <w:r w:rsidRPr="002E41A8">
        <w:rPr>
          <w:lang w:val="fr-FR"/>
        </w:rPr>
        <w:t>du Comité d</w:t>
      </w:r>
      <w:r>
        <w:rPr>
          <w:lang w:val="fr-FR"/>
        </w:rPr>
        <w:t>’</w:t>
      </w:r>
      <w:r w:rsidRPr="002E41A8">
        <w:rPr>
          <w:lang w:val="fr-FR"/>
        </w:rPr>
        <w:t>évaluation de l</w:t>
      </w:r>
      <w:r>
        <w:rPr>
          <w:lang w:val="fr-FR"/>
        </w:rPr>
        <w:t>’</w:t>
      </w:r>
      <w:r w:rsidRPr="002E41A8">
        <w:rPr>
          <w:lang w:val="fr-FR"/>
        </w:rPr>
        <w:t>efficacité et</w:t>
      </w:r>
      <w:r>
        <w:rPr>
          <w:lang w:val="fr-FR"/>
        </w:rPr>
        <w:t xml:space="preserve"> le </w:t>
      </w:r>
      <w:r w:rsidRPr="002E41A8">
        <w:rPr>
          <w:lang w:val="fr-FR"/>
        </w:rPr>
        <w:t>calendrier de</w:t>
      </w:r>
      <w:r>
        <w:rPr>
          <w:lang w:val="fr-FR"/>
        </w:rPr>
        <w:t xml:space="preserve"> la </w:t>
      </w:r>
      <w:r w:rsidRPr="002E41A8">
        <w:rPr>
          <w:lang w:val="fr-FR"/>
        </w:rPr>
        <w:t>première évaluation de l</w:t>
      </w:r>
      <w:r>
        <w:rPr>
          <w:lang w:val="fr-FR"/>
        </w:rPr>
        <w:t>’</w:t>
      </w:r>
      <w:r w:rsidRPr="002E41A8">
        <w:rPr>
          <w:lang w:val="fr-FR"/>
        </w:rPr>
        <w:t>efficacité, au besoin, en s</w:t>
      </w:r>
      <w:r>
        <w:rPr>
          <w:lang w:val="fr-FR"/>
        </w:rPr>
        <w:t>’</w:t>
      </w:r>
      <w:r w:rsidRPr="002E41A8">
        <w:rPr>
          <w:lang w:val="fr-FR"/>
        </w:rPr>
        <w:t>appuyant sur</w:t>
      </w:r>
      <w:r>
        <w:rPr>
          <w:lang w:val="fr-FR"/>
        </w:rPr>
        <w:t xml:space="preserve"> les </w:t>
      </w:r>
      <w:r w:rsidRPr="002E41A8">
        <w:rPr>
          <w:lang w:val="fr-FR"/>
        </w:rPr>
        <w:t>résultats du processus défini dans</w:t>
      </w:r>
      <w:r>
        <w:rPr>
          <w:lang w:val="fr-FR"/>
        </w:rPr>
        <w:t xml:space="preserve"> le </w:t>
      </w:r>
      <w:r w:rsidRPr="002E41A8">
        <w:rPr>
          <w:lang w:val="fr-FR"/>
        </w:rPr>
        <w:t>présent paragraphe.</w:t>
      </w:r>
    </w:p>
    <w:p w14:paraId="7F9446FC" w14:textId="77777777" w:rsidR="003645F6" w:rsidRPr="00D72EEE" w:rsidRDefault="003645F6" w:rsidP="003645F6">
      <w:pPr>
        <w:pStyle w:val="NormalNonumber"/>
        <w:rPr>
          <w:lang w:val="fr-FR"/>
        </w:rPr>
      </w:pPr>
      <w:r>
        <w:rPr>
          <w:lang w:val="fr-FR"/>
        </w:rPr>
        <w:t>3.</w:t>
      </w:r>
      <w:r>
        <w:rPr>
          <w:lang w:val="fr-FR"/>
        </w:rPr>
        <w:tab/>
      </w:r>
      <w:r w:rsidRPr="00D72EEE">
        <w:rPr>
          <w:lang w:val="fr-FR"/>
        </w:rPr>
        <w:t>S</w:t>
      </w:r>
      <w:r>
        <w:rPr>
          <w:lang w:val="fr-FR"/>
        </w:rPr>
        <w:t>’</w:t>
      </w:r>
      <w:r w:rsidRPr="00D72EEE">
        <w:rPr>
          <w:lang w:val="fr-FR"/>
        </w:rPr>
        <w:t>agissant de</w:t>
      </w:r>
      <w:r>
        <w:rPr>
          <w:lang w:val="fr-FR"/>
        </w:rPr>
        <w:t xml:space="preserve"> la </w:t>
      </w:r>
      <w:r w:rsidRPr="00D72EEE">
        <w:rPr>
          <w:lang w:val="fr-FR"/>
        </w:rPr>
        <w:t>surveillance,</w:t>
      </w:r>
      <w:r>
        <w:rPr>
          <w:lang w:val="fr-FR"/>
        </w:rPr>
        <w:t xml:space="preserve"> le </w:t>
      </w:r>
      <w:r w:rsidRPr="00D72EEE">
        <w:rPr>
          <w:lang w:val="fr-FR"/>
        </w:rPr>
        <w:t>groupe spécial d</w:t>
      </w:r>
      <w:r>
        <w:rPr>
          <w:lang w:val="fr-FR"/>
        </w:rPr>
        <w:t>’</w:t>
      </w:r>
      <w:r w:rsidRPr="00D72EEE">
        <w:rPr>
          <w:lang w:val="fr-FR"/>
        </w:rPr>
        <w:t>experts techniques entreprend</w:t>
      </w:r>
      <w:r>
        <w:rPr>
          <w:lang w:val="fr-FR"/>
        </w:rPr>
        <w:t xml:space="preserve"> les </w:t>
      </w:r>
      <w:r w:rsidRPr="00D72EEE">
        <w:rPr>
          <w:lang w:val="fr-FR"/>
        </w:rPr>
        <w:t xml:space="preserve">activités </w:t>
      </w:r>
      <w:r>
        <w:rPr>
          <w:lang w:val="fr-FR"/>
        </w:rPr>
        <w:t>ci-après</w:t>
      </w:r>
      <w:r w:rsidRPr="00D72EEE">
        <w:rPr>
          <w:lang w:val="fr-FR"/>
        </w:rPr>
        <w:t> :</w:t>
      </w:r>
    </w:p>
    <w:p w14:paraId="767423F6" w14:textId="77777777" w:rsidR="003645F6" w:rsidRPr="00D72EEE" w:rsidRDefault="003645F6" w:rsidP="003645F6">
      <w:pPr>
        <w:pStyle w:val="NormalNonumber"/>
        <w:rPr>
          <w:lang w:val="fr-FR"/>
        </w:rPr>
      </w:pPr>
      <w:r>
        <w:rPr>
          <w:lang w:val="fr-FR"/>
        </w:rPr>
        <w:tab/>
        <w:t>a)</w:t>
      </w:r>
      <w:r>
        <w:rPr>
          <w:lang w:val="fr-FR"/>
        </w:rPr>
        <w:tab/>
      </w:r>
      <w:r w:rsidRPr="00D72EEE">
        <w:rPr>
          <w:lang w:val="fr-FR"/>
        </w:rPr>
        <w:t>Définir :</w:t>
      </w:r>
    </w:p>
    <w:p w14:paraId="60947C4B" w14:textId="77777777" w:rsidR="003645F6" w:rsidRPr="00D72EEE" w:rsidRDefault="003645F6" w:rsidP="003645F6">
      <w:pPr>
        <w:pStyle w:val="NormalNonumber"/>
        <w:ind w:left="2948" w:hanging="1701"/>
      </w:pPr>
      <w:r>
        <w:tab/>
      </w:r>
      <w:r>
        <w:tab/>
      </w:r>
      <w:r>
        <w:tab/>
        <w:t>i)</w:t>
      </w:r>
      <w:r>
        <w:tab/>
      </w:r>
      <w:r w:rsidRPr="00D72EEE">
        <w:t>Les catégories de données de surveillance disponibles</w:t>
      </w:r>
      <w:r w:rsidRPr="00D72EEE">
        <w:rPr>
          <w:vertAlign w:val="superscript"/>
        </w:rPr>
        <w:footnoteReference w:id="4"/>
      </w:r>
      <w:r w:rsidRPr="00D72EEE">
        <w:t xml:space="preserve"> et comparables</w:t>
      </w:r>
      <w:r w:rsidRPr="00D72EEE">
        <w:rPr>
          <w:vertAlign w:val="superscript"/>
        </w:rPr>
        <w:footnoteReference w:id="5"/>
      </w:r>
      <w:r>
        <w:t xml:space="preserve"> les </w:t>
      </w:r>
      <w:r w:rsidRPr="00D72EEE">
        <w:t xml:space="preserve">plus utiles pour </w:t>
      </w:r>
      <w:r>
        <w:t>l’extraction</w:t>
      </w:r>
      <w:r w:rsidRPr="00D72EEE">
        <w:t xml:space="preserve"> </w:t>
      </w:r>
      <w:r>
        <w:t>d’</w:t>
      </w:r>
      <w:r w:rsidRPr="00D72EEE">
        <w:t>informations sur</w:t>
      </w:r>
      <w:r>
        <w:t xml:space="preserve"> les </w:t>
      </w:r>
      <w:r w:rsidRPr="00D72EEE">
        <w:t>tendances mondiales (en</w:t>
      </w:r>
      <w:r>
        <w:t xml:space="preserve"> les </w:t>
      </w:r>
      <w:r w:rsidRPr="00D72EEE">
        <w:t>distinguant</w:t>
      </w:r>
      <w:r>
        <w:t xml:space="preserve"> des </w:t>
      </w:r>
      <w:r w:rsidRPr="00D72EEE">
        <w:t xml:space="preserve">données </w:t>
      </w:r>
      <w:r>
        <w:t xml:space="preserve">pouvant être </w:t>
      </w:r>
      <w:r w:rsidRPr="00D72EEE">
        <w:t xml:space="preserve">utiles pour </w:t>
      </w:r>
      <w:r>
        <w:t>éclairer les </w:t>
      </w:r>
      <w:r w:rsidRPr="00D72EEE">
        <w:t>politiques locales, nationales et</w:t>
      </w:r>
      <w:r>
        <w:t>/ou</w:t>
      </w:r>
      <w:r w:rsidRPr="00D72EEE">
        <w:t xml:space="preserve"> régionales) ;</w:t>
      </w:r>
    </w:p>
    <w:p w14:paraId="3B7120B0" w14:textId="77777777" w:rsidR="003645F6" w:rsidRPr="00D72EEE" w:rsidRDefault="003645F6" w:rsidP="003645F6">
      <w:pPr>
        <w:pStyle w:val="NormalNonumber"/>
        <w:ind w:left="2948" w:hanging="1701"/>
      </w:pPr>
      <w:r>
        <w:lastRenderedPageBreak/>
        <w:tab/>
      </w:r>
      <w:r>
        <w:tab/>
      </w:r>
      <w:r>
        <w:tab/>
        <w:t>ii)</w:t>
      </w:r>
      <w:r>
        <w:tab/>
      </w:r>
      <w:r w:rsidRPr="00D72EEE">
        <w:t>Les données de surveillance de l</w:t>
      </w:r>
      <w:r>
        <w:t>’</w:t>
      </w:r>
      <w:r w:rsidRPr="00D72EEE">
        <w:t>air, de l</w:t>
      </w:r>
      <w:r>
        <w:t>’</w:t>
      </w:r>
      <w:r w:rsidRPr="00D72EEE">
        <w:t xml:space="preserve">eau, du biote et </w:t>
      </w:r>
      <w:r>
        <w:t xml:space="preserve">de la population </w:t>
      </w:r>
      <w:r w:rsidRPr="00D72EEE">
        <w:t>humain</w:t>
      </w:r>
      <w:r>
        <w:t>e</w:t>
      </w:r>
      <w:r w:rsidRPr="00D72EEE">
        <w:t xml:space="preserve"> pouvant servir à évaluer l</w:t>
      </w:r>
      <w:r>
        <w:t>’</w:t>
      </w:r>
      <w:r w:rsidRPr="00D72EEE">
        <w:t>incidence sur</w:t>
      </w:r>
      <w:r>
        <w:t xml:space="preserve"> les </w:t>
      </w:r>
      <w:r w:rsidRPr="00D72EEE">
        <w:t>concentrations et</w:t>
      </w:r>
      <w:r>
        <w:t xml:space="preserve"> les </w:t>
      </w:r>
      <w:r w:rsidRPr="00D72EEE">
        <w:t>tendances du mercure ;</w:t>
      </w:r>
    </w:p>
    <w:p w14:paraId="7DFFD8CD" w14:textId="77777777" w:rsidR="003645F6" w:rsidRPr="00D72EEE" w:rsidRDefault="003645F6" w:rsidP="003645F6">
      <w:pPr>
        <w:pStyle w:val="NormalNonumber"/>
        <w:ind w:left="2948" w:hanging="1701"/>
      </w:pPr>
      <w:r>
        <w:tab/>
      </w:r>
      <w:r>
        <w:tab/>
      </w:r>
      <w:r>
        <w:tab/>
        <w:t>iii)</w:t>
      </w:r>
      <w:r>
        <w:tab/>
      </w:r>
      <w:r w:rsidRPr="00D72EEE">
        <w:t>Le</w:t>
      </w:r>
      <w:r>
        <w:t xml:space="preserve"> potentiel</w:t>
      </w:r>
      <w:r w:rsidRPr="00D72EEE">
        <w:t xml:space="preserve"> et</w:t>
      </w:r>
      <w:r>
        <w:t xml:space="preserve"> les </w:t>
      </w:r>
      <w:r w:rsidRPr="00D72EEE">
        <w:t>limites</w:t>
      </w:r>
      <w:r>
        <w:t xml:space="preserve"> des </w:t>
      </w:r>
      <w:r w:rsidRPr="00D72EEE">
        <w:t xml:space="preserve">données </w:t>
      </w:r>
      <w:r>
        <w:t>choisies</w:t>
      </w:r>
      <w:r w:rsidRPr="00D72EEE">
        <w:t xml:space="preserve">, compte </w:t>
      </w:r>
      <w:r>
        <w:t>tenu des </w:t>
      </w:r>
      <w:r w:rsidRPr="00D72EEE">
        <w:t>incidences autres que</w:t>
      </w:r>
      <w:r>
        <w:t xml:space="preserve"> les </w:t>
      </w:r>
      <w:r w:rsidRPr="00D72EEE">
        <w:t>émissions et rejets anthropiques sur ces tendances spatiales et temporelles ;</w:t>
      </w:r>
    </w:p>
    <w:p w14:paraId="5B2D1AA5" w14:textId="77777777" w:rsidR="003645F6" w:rsidRPr="00D72EEE" w:rsidRDefault="003645F6" w:rsidP="003645F6">
      <w:pPr>
        <w:pStyle w:val="NormalNonumber"/>
        <w:rPr>
          <w:lang w:val="fr-FR"/>
        </w:rPr>
      </w:pPr>
      <w:r>
        <w:rPr>
          <w:lang w:val="fr-FR"/>
        </w:rPr>
        <w:tab/>
        <w:t>b)</w:t>
      </w:r>
      <w:r>
        <w:rPr>
          <w:lang w:val="fr-FR"/>
        </w:rPr>
        <w:tab/>
      </w:r>
      <w:r w:rsidRPr="00D72EEE">
        <w:rPr>
          <w:lang w:val="fr-FR"/>
        </w:rPr>
        <w:t>Déterminer dans quelle mesure</w:t>
      </w:r>
      <w:r>
        <w:rPr>
          <w:lang w:val="fr-FR"/>
        </w:rPr>
        <w:t xml:space="preserve"> les </w:t>
      </w:r>
      <w:r w:rsidRPr="00D72EEE">
        <w:rPr>
          <w:lang w:val="fr-FR"/>
        </w:rPr>
        <w:t>informations examinées répondent aux besoins en matière de surveillance énoncés au paragraphe 2 de l</w:t>
      </w:r>
      <w:r>
        <w:rPr>
          <w:lang w:val="fr-FR"/>
        </w:rPr>
        <w:t>’</w:t>
      </w:r>
      <w:r w:rsidRPr="00D72EEE">
        <w:rPr>
          <w:lang w:val="fr-FR"/>
        </w:rPr>
        <w:t>article 22 de</w:t>
      </w:r>
      <w:r>
        <w:rPr>
          <w:lang w:val="fr-FR"/>
        </w:rPr>
        <w:t xml:space="preserve"> la </w:t>
      </w:r>
      <w:r w:rsidRPr="00D72EEE">
        <w:rPr>
          <w:lang w:val="fr-FR"/>
        </w:rPr>
        <w:t>Convention, circonscrire</w:t>
      </w:r>
      <w:r>
        <w:rPr>
          <w:lang w:val="fr-FR"/>
        </w:rPr>
        <w:t xml:space="preserve"> les </w:t>
      </w:r>
      <w:r w:rsidRPr="00D72EEE">
        <w:rPr>
          <w:lang w:val="fr-FR"/>
        </w:rPr>
        <w:t>principales lacunes qui pourraient avoir</w:t>
      </w:r>
      <w:r>
        <w:rPr>
          <w:lang w:val="fr-FR"/>
        </w:rPr>
        <w:t xml:space="preserve"> une </w:t>
      </w:r>
      <w:r w:rsidRPr="00D72EEE">
        <w:rPr>
          <w:lang w:val="fr-FR"/>
        </w:rPr>
        <w:t>incidence sur l</w:t>
      </w:r>
      <w:r>
        <w:rPr>
          <w:lang w:val="fr-FR"/>
        </w:rPr>
        <w:t>’</w:t>
      </w:r>
      <w:r w:rsidRPr="00D72EEE">
        <w:rPr>
          <w:lang w:val="fr-FR"/>
        </w:rPr>
        <w:t>exploitabilité</w:t>
      </w:r>
      <w:r>
        <w:rPr>
          <w:lang w:val="fr-FR"/>
        </w:rPr>
        <w:t xml:space="preserve"> des </w:t>
      </w:r>
      <w:r w:rsidRPr="00D72EEE">
        <w:rPr>
          <w:lang w:val="fr-FR"/>
        </w:rPr>
        <w:t xml:space="preserve">données disponibles et </w:t>
      </w:r>
      <w:r>
        <w:rPr>
          <w:lang w:val="fr-FR"/>
        </w:rPr>
        <w:t>formuler des option</w:t>
      </w:r>
      <w:r w:rsidRPr="00D72EEE">
        <w:rPr>
          <w:lang w:val="fr-FR"/>
        </w:rPr>
        <w:t>s ou</w:t>
      </w:r>
      <w:r>
        <w:rPr>
          <w:lang w:val="fr-FR"/>
        </w:rPr>
        <w:t xml:space="preserve"> des </w:t>
      </w:r>
      <w:r w:rsidRPr="00D72EEE">
        <w:rPr>
          <w:lang w:val="fr-FR"/>
        </w:rPr>
        <w:t>recommandations pour améliorer</w:t>
      </w:r>
      <w:r>
        <w:rPr>
          <w:lang w:val="fr-FR"/>
        </w:rPr>
        <w:t xml:space="preserve"> la </w:t>
      </w:r>
      <w:r w:rsidRPr="00D72EEE">
        <w:rPr>
          <w:lang w:val="fr-FR"/>
        </w:rPr>
        <w:t>comparabilité et l</w:t>
      </w:r>
      <w:r>
        <w:rPr>
          <w:lang w:val="fr-FR"/>
        </w:rPr>
        <w:t>’</w:t>
      </w:r>
      <w:r w:rsidRPr="00D72EEE">
        <w:rPr>
          <w:lang w:val="fr-FR"/>
        </w:rPr>
        <w:t>exhaustivité</w:t>
      </w:r>
      <w:r>
        <w:rPr>
          <w:lang w:val="fr-FR"/>
        </w:rPr>
        <w:t xml:space="preserve"> des </w:t>
      </w:r>
      <w:r w:rsidRPr="00D72EEE">
        <w:rPr>
          <w:lang w:val="fr-FR"/>
        </w:rPr>
        <w:t>informations ;</w:t>
      </w:r>
    </w:p>
    <w:p w14:paraId="6C64149D" w14:textId="77777777" w:rsidR="003645F6" w:rsidRPr="002E41A8" w:rsidRDefault="003645F6" w:rsidP="003645F6">
      <w:pPr>
        <w:pStyle w:val="NormalNonumber"/>
        <w:rPr>
          <w:lang w:val="fr-FR"/>
        </w:rPr>
      </w:pPr>
      <w:r>
        <w:rPr>
          <w:lang w:val="fr-FR"/>
        </w:rPr>
        <w:tab/>
        <w:t>c)</w:t>
      </w:r>
      <w:r>
        <w:rPr>
          <w:lang w:val="fr-FR"/>
        </w:rPr>
        <w:tab/>
      </w:r>
      <w:r w:rsidRPr="00D72EEE">
        <w:rPr>
          <w:lang w:val="fr-FR"/>
        </w:rPr>
        <w:t>Afin de combler</w:t>
      </w:r>
      <w:r>
        <w:rPr>
          <w:lang w:val="fr-FR"/>
        </w:rPr>
        <w:t xml:space="preserve"> les </w:t>
      </w:r>
      <w:r w:rsidRPr="00D72EEE">
        <w:rPr>
          <w:lang w:val="fr-FR"/>
        </w:rPr>
        <w:t>lacunes</w:t>
      </w:r>
      <w:r>
        <w:rPr>
          <w:lang w:val="fr-FR"/>
        </w:rPr>
        <w:t xml:space="preserve"> des </w:t>
      </w:r>
      <w:r w:rsidRPr="00D72EEE">
        <w:rPr>
          <w:lang w:val="fr-FR"/>
        </w:rPr>
        <w:t>données de surveillance utiles à l</w:t>
      </w:r>
      <w:r>
        <w:rPr>
          <w:lang w:val="fr-FR"/>
        </w:rPr>
        <w:t>’</w:t>
      </w:r>
      <w:r w:rsidRPr="00D72EEE">
        <w:rPr>
          <w:lang w:val="fr-FR"/>
        </w:rPr>
        <w:t>échelle mondiale, comparer</w:t>
      </w:r>
      <w:r>
        <w:rPr>
          <w:lang w:val="fr-FR"/>
        </w:rPr>
        <w:t xml:space="preserve"> les solution</w:t>
      </w:r>
      <w:r w:rsidRPr="00D72EEE">
        <w:rPr>
          <w:lang w:val="fr-FR"/>
        </w:rPr>
        <w:t>s et recommandations visé</w:t>
      </w:r>
      <w:r>
        <w:rPr>
          <w:lang w:val="fr-FR"/>
        </w:rPr>
        <w:t>e</w:t>
      </w:r>
      <w:r w:rsidRPr="00D72EEE">
        <w:rPr>
          <w:lang w:val="fr-FR"/>
        </w:rPr>
        <w:t>s</w:t>
      </w:r>
      <w:r w:rsidRPr="002E41A8">
        <w:rPr>
          <w:lang w:val="fr-FR"/>
        </w:rPr>
        <w:t xml:space="preserve"> au sous-paragraphe précédent </w:t>
      </w:r>
      <w:r>
        <w:rPr>
          <w:lang w:val="fr-FR"/>
        </w:rPr>
        <w:t xml:space="preserve">du point de vue </w:t>
      </w:r>
      <w:r w:rsidRPr="002E41A8">
        <w:rPr>
          <w:lang w:val="fr-FR"/>
        </w:rPr>
        <w:t xml:space="preserve">de leur </w:t>
      </w:r>
      <w:r>
        <w:rPr>
          <w:lang w:val="fr-FR"/>
        </w:rPr>
        <w:t>rentabilité</w:t>
      </w:r>
      <w:r w:rsidRPr="002E41A8">
        <w:rPr>
          <w:lang w:val="fr-FR"/>
        </w:rPr>
        <w:t xml:space="preserve">, </w:t>
      </w:r>
      <w:r>
        <w:rPr>
          <w:lang w:val="fr-FR"/>
        </w:rPr>
        <w:t>commodité</w:t>
      </w:r>
      <w:r w:rsidRPr="002E41A8">
        <w:rPr>
          <w:lang w:val="fr-FR"/>
        </w:rPr>
        <w:t>, faisab</w:t>
      </w:r>
      <w:r>
        <w:rPr>
          <w:lang w:val="fr-FR"/>
        </w:rPr>
        <w:t>ilité et</w:t>
      </w:r>
      <w:r w:rsidRPr="002E41A8">
        <w:rPr>
          <w:lang w:val="fr-FR"/>
        </w:rPr>
        <w:t xml:space="preserve"> durab</w:t>
      </w:r>
      <w:r>
        <w:rPr>
          <w:lang w:val="fr-FR"/>
        </w:rPr>
        <w:t xml:space="preserve">ilité, </w:t>
      </w:r>
      <w:r w:rsidRPr="00C64840">
        <w:rPr>
          <w:lang w:val="fr-FR"/>
        </w:rPr>
        <w:t xml:space="preserve">ainsi que </w:t>
      </w:r>
      <w:r>
        <w:rPr>
          <w:lang w:val="fr-FR"/>
        </w:rPr>
        <w:t xml:space="preserve">de leur </w:t>
      </w:r>
      <w:r w:rsidRPr="002E41A8">
        <w:rPr>
          <w:lang w:val="fr-FR"/>
        </w:rPr>
        <w:t>couverture mondiale</w:t>
      </w:r>
      <w:r>
        <w:rPr>
          <w:lang w:val="fr-FR"/>
        </w:rPr>
        <w:t xml:space="preserve"> et des </w:t>
      </w:r>
      <w:r w:rsidRPr="002E41A8">
        <w:rPr>
          <w:lang w:val="fr-FR"/>
        </w:rPr>
        <w:t xml:space="preserve">capacités régionales, en vue de </w:t>
      </w:r>
      <w:r>
        <w:rPr>
          <w:lang w:val="fr-FR"/>
        </w:rPr>
        <w:t>trouv</w:t>
      </w:r>
      <w:r w:rsidRPr="002E41A8">
        <w:rPr>
          <w:lang w:val="fr-FR"/>
        </w:rPr>
        <w:t>er</w:t>
      </w:r>
      <w:r>
        <w:rPr>
          <w:lang w:val="fr-FR"/>
        </w:rPr>
        <w:t xml:space="preserve"> des moyens d’</w:t>
      </w:r>
      <w:r w:rsidRPr="002E41A8">
        <w:rPr>
          <w:lang w:val="fr-FR"/>
        </w:rPr>
        <w:t>améliorer</w:t>
      </w:r>
      <w:r>
        <w:rPr>
          <w:lang w:val="fr-FR"/>
        </w:rPr>
        <w:t xml:space="preserve"> la </w:t>
      </w:r>
      <w:r w:rsidRPr="002E41A8">
        <w:rPr>
          <w:lang w:val="fr-FR"/>
        </w:rPr>
        <w:t>surveillance à l</w:t>
      </w:r>
      <w:r>
        <w:rPr>
          <w:lang w:val="fr-FR"/>
        </w:rPr>
        <w:t>’</w:t>
      </w:r>
      <w:r w:rsidRPr="002E41A8">
        <w:rPr>
          <w:lang w:val="fr-FR"/>
        </w:rPr>
        <w:t>avenir ;</w:t>
      </w:r>
    </w:p>
    <w:p w14:paraId="5677C1B8" w14:textId="77777777" w:rsidR="003645F6" w:rsidRPr="002E41A8" w:rsidRDefault="003645F6" w:rsidP="003645F6">
      <w:pPr>
        <w:pStyle w:val="NormalNonumber"/>
        <w:rPr>
          <w:lang w:val="fr-FR"/>
        </w:rPr>
      </w:pPr>
      <w:r>
        <w:rPr>
          <w:lang w:val="fr-FR"/>
        </w:rPr>
        <w:tab/>
        <w:t>d)</w:t>
      </w:r>
      <w:r>
        <w:rPr>
          <w:lang w:val="fr-FR"/>
        </w:rPr>
        <w:tab/>
      </w:r>
      <w:r w:rsidRPr="002E41A8">
        <w:rPr>
          <w:lang w:val="fr-FR"/>
        </w:rPr>
        <w:t>Recenser</w:t>
      </w:r>
      <w:r>
        <w:rPr>
          <w:lang w:val="fr-FR"/>
        </w:rPr>
        <w:t xml:space="preserve"> les </w:t>
      </w:r>
      <w:r w:rsidRPr="002E41A8">
        <w:rPr>
          <w:lang w:val="fr-FR"/>
        </w:rPr>
        <w:t>capacités de modélisation disponibles pour évaluer</w:t>
      </w:r>
      <w:r>
        <w:rPr>
          <w:lang w:val="fr-FR"/>
        </w:rPr>
        <w:t xml:space="preserve"> les </w:t>
      </w:r>
      <w:r w:rsidRPr="002E41A8">
        <w:rPr>
          <w:lang w:val="fr-FR"/>
        </w:rPr>
        <w:t>changements intervenus dans</w:t>
      </w:r>
      <w:r>
        <w:rPr>
          <w:lang w:val="fr-FR"/>
        </w:rPr>
        <w:t xml:space="preserve"> les </w:t>
      </w:r>
      <w:r w:rsidRPr="002E41A8">
        <w:rPr>
          <w:lang w:val="fr-FR"/>
        </w:rPr>
        <w:t xml:space="preserve">concentrations de mercure au niveau mondial dans </w:t>
      </w:r>
      <w:r>
        <w:rPr>
          <w:lang w:val="fr-FR"/>
        </w:rPr>
        <w:t>chaque</w:t>
      </w:r>
      <w:r w:rsidRPr="002E41A8">
        <w:rPr>
          <w:lang w:val="fr-FR"/>
        </w:rPr>
        <w:t xml:space="preserve"> milieu et</w:t>
      </w:r>
      <w:r>
        <w:rPr>
          <w:lang w:val="fr-FR"/>
        </w:rPr>
        <w:t xml:space="preserve"> d’un milieu à l’autre</w:t>
      </w:r>
      <w:r w:rsidRPr="002E41A8">
        <w:rPr>
          <w:lang w:val="fr-FR"/>
        </w:rPr>
        <w:t> ;</w:t>
      </w:r>
    </w:p>
    <w:p w14:paraId="4B4FA542" w14:textId="77777777" w:rsidR="003645F6" w:rsidRPr="002E41A8" w:rsidRDefault="003645F6" w:rsidP="003645F6">
      <w:pPr>
        <w:pStyle w:val="NormalNonumber"/>
        <w:rPr>
          <w:lang w:val="fr-FR"/>
        </w:rPr>
      </w:pPr>
      <w:r>
        <w:rPr>
          <w:lang w:val="fr-FR"/>
        </w:rPr>
        <w:tab/>
        <w:t>e)</w:t>
      </w:r>
      <w:r>
        <w:rPr>
          <w:lang w:val="fr-FR"/>
        </w:rPr>
        <w:tab/>
      </w:r>
      <w:r w:rsidRPr="002E41A8">
        <w:rPr>
          <w:lang w:val="fr-FR"/>
        </w:rPr>
        <w:t>Examiner</w:t>
      </w:r>
      <w:r>
        <w:rPr>
          <w:lang w:val="fr-FR"/>
        </w:rPr>
        <w:t xml:space="preserve"> les options</w:t>
      </w:r>
      <w:r w:rsidRPr="002E41A8">
        <w:rPr>
          <w:lang w:val="fr-FR"/>
        </w:rPr>
        <w:t xml:space="preserve"> proposé</w:t>
      </w:r>
      <w:r>
        <w:rPr>
          <w:lang w:val="fr-FR"/>
        </w:rPr>
        <w:t>e</w:t>
      </w:r>
      <w:r w:rsidRPr="002E41A8">
        <w:rPr>
          <w:lang w:val="fr-FR"/>
        </w:rPr>
        <w:t>s et s</w:t>
      </w:r>
      <w:r>
        <w:rPr>
          <w:lang w:val="fr-FR"/>
        </w:rPr>
        <w:t>’</w:t>
      </w:r>
      <w:r w:rsidRPr="002E41A8">
        <w:rPr>
          <w:lang w:val="fr-FR"/>
        </w:rPr>
        <w:t>en servir pour recenser</w:t>
      </w:r>
      <w:r>
        <w:rPr>
          <w:lang w:val="fr-FR"/>
        </w:rPr>
        <w:t xml:space="preserve"> les </w:t>
      </w:r>
      <w:r w:rsidRPr="002E41A8">
        <w:rPr>
          <w:lang w:val="fr-FR"/>
        </w:rPr>
        <w:t xml:space="preserve">sources de données </w:t>
      </w:r>
      <w:r>
        <w:rPr>
          <w:lang w:val="fr-FR"/>
        </w:rPr>
        <w:t>pouvant s’utiliser pour</w:t>
      </w:r>
      <w:r w:rsidRPr="002E41A8">
        <w:rPr>
          <w:lang w:val="fr-FR"/>
        </w:rPr>
        <w:t xml:space="preserve"> défini</w:t>
      </w:r>
      <w:r>
        <w:rPr>
          <w:lang w:val="fr-FR"/>
        </w:rPr>
        <w:t>r un point de comparaison des </w:t>
      </w:r>
      <w:r w:rsidRPr="002E41A8">
        <w:rPr>
          <w:lang w:val="fr-FR"/>
        </w:rPr>
        <w:t>données de surveillance ;</w:t>
      </w:r>
    </w:p>
    <w:p w14:paraId="4983A0A7" w14:textId="77777777" w:rsidR="003645F6" w:rsidRPr="002E41A8" w:rsidRDefault="003645F6" w:rsidP="003645F6">
      <w:pPr>
        <w:pStyle w:val="NormalNonumber"/>
        <w:rPr>
          <w:lang w:val="fr-FR"/>
        </w:rPr>
      </w:pPr>
      <w:r>
        <w:rPr>
          <w:lang w:val="fr-FR"/>
        </w:rPr>
        <w:tab/>
        <w:t>f)</w:t>
      </w:r>
      <w:r>
        <w:rPr>
          <w:lang w:val="fr-FR"/>
        </w:rPr>
        <w:tab/>
      </w:r>
      <w:r w:rsidRPr="002E41A8">
        <w:rPr>
          <w:lang w:val="fr-FR"/>
        </w:rPr>
        <w:t>Fournir d</w:t>
      </w:r>
      <w:r>
        <w:rPr>
          <w:lang w:val="fr-FR"/>
        </w:rPr>
        <w:t>’</w:t>
      </w:r>
      <w:r w:rsidRPr="002E41A8">
        <w:rPr>
          <w:lang w:val="fr-FR"/>
        </w:rPr>
        <w:t>autres contributions techniques et informations utiles en réponse à toute question supplémentaire en matière de surveillance soulevée dans</w:t>
      </w:r>
      <w:r>
        <w:rPr>
          <w:lang w:val="fr-FR"/>
        </w:rPr>
        <w:t xml:space="preserve"> le </w:t>
      </w:r>
      <w:r w:rsidRPr="002E41A8">
        <w:rPr>
          <w:lang w:val="fr-FR"/>
        </w:rPr>
        <w:t>cadre de l</w:t>
      </w:r>
      <w:r>
        <w:rPr>
          <w:lang w:val="fr-FR"/>
        </w:rPr>
        <w:t>’</w:t>
      </w:r>
      <w:r w:rsidRPr="002E41A8">
        <w:rPr>
          <w:lang w:val="fr-FR"/>
        </w:rPr>
        <w:t>élaboration du cadre d</w:t>
      </w:r>
      <w:r>
        <w:rPr>
          <w:lang w:val="fr-FR"/>
        </w:rPr>
        <w:t>’</w:t>
      </w:r>
      <w:r w:rsidRPr="002E41A8">
        <w:rPr>
          <w:lang w:val="fr-FR"/>
        </w:rPr>
        <w:t>évaluation ;</w:t>
      </w:r>
    </w:p>
    <w:p w14:paraId="59B7120A" w14:textId="77777777" w:rsidR="003645F6" w:rsidRPr="002E41A8" w:rsidRDefault="003645F6" w:rsidP="003645F6">
      <w:pPr>
        <w:pStyle w:val="NormalNonumber"/>
        <w:rPr>
          <w:lang w:val="fr-FR"/>
        </w:rPr>
      </w:pPr>
      <w:r>
        <w:rPr>
          <w:lang w:val="fr-FR"/>
        </w:rPr>
        <w:tab/>
        <w:t>g)</w:t>
      </w:r>
      <w:r>
        <w:rPr>
          <w:lang w:val="fr-FR"/>
        </w:rPr>
        <w:tab/>
      </w:r>
      <w:r w:rsidRPr="002E41A8">
        <w:rPr>
          <w:lang w:val="fr-FR"/>
        </w:rPr>
        <w:t>Élaborer</w:t>
      </w:r>
      <w:r>
        <w:rPr>
          <w:lang w:val="fr-FR"/>
        </w:rPr>
        <w:t xml:space="preserve"> un </w:t>
      </w:r>
      <w:r w:rsidRPr="002E41A8">
        <w:rPr>
          <w:lang w:val="fr-FR"/>
        </w:rPr>
        <w:t xml:space="preserve">projet de </w:t>
      </w:r>
      <w:r>
        <w:rPr>
          <w:lang w:val="fr-FR"/>
        </w:rPr>
        <w:t>cadre pour les </w:t>
      </w:r>
      <w:r w:rsidRPr="002E41A8">
        <w:rPr>
          <w:lang w:val="fr-FR"/>
        </w:rPr>
        <w:t xml:space="preserve">arrangements </w:t>
      </w:r>
      <w:r>
        <w:rPr>
          <w:lang w:val="fr-FR"/>
        </w:rPr>
        <w:t xml:space="preserve">mondiaux </w:t>
      </w:r>
      <w:r w:rsidRPr="002E41A8">
        <w:rPr>
          <w:lang w:val="fr-FR"/>
        </w:rPr>
        <w:t>en matière de surveillance, y compris</w:t>
      </w:r>
      <w:r>
        <w:rPr>
          <w:lang w:val="fr-FR"/>
        </w:rPr>
        <w:t xml:space="preserve"> des </w:t>
      </w:r>
      <w:r w:rsidRPr="002E41A8">
        <w:rPr>
          <w:lang w:val="fr-FR"/>
        </w:rPr>
        <w:t>orientations en matière de surveillance.</w:t>
      </w:r>
    </w:p>
    <w:p w14:paraId="5F3BEEA2" w14:textId="77777777" w:rsidR="003645F6" w:rsidRPr="002E41A8" w:rsidRDefault="003645F6" w:rsidP="003645F6">
      <w:pPr>
        <w:pStyle w:val="CH1"/>
        <w:rPr>
          <w:lang w:val="fr-FR"/>
        </w:rPr>
      </w:pPr>
      <w:r>
        <w:rPr>
          <w:lang w:val="fr-FR"/>
        </w:rPr>
        <w:tab/>
      </w:r>
      <w:bookmarkStart w:id="13" w:name="_Toc13750084"/>
      <w:bookmarkStart w:id="14" w:name="_Toc14185202"/>
      <w:r w:rsidRPr="002E41A8">
        <w:rPr>
          <w:lang w:val="fr-FR"/>
        </w:rPr>
        <w:t>II.</w:t>
      </w:r>
      <w:r w:rsidRPr="002E41A8">
        <w:rPr>
          <w:lang w:val="fr-FR"/>
        </w:rPr>
        <w:tab/>
        <w:t>Composition révisée</w:t>
      </w:r>
      <w:bookmarkStart w:id="15" w:name="_Toc7079452"/>
      <w:bookmarkEnd w:id="13"/>
      <w:bookmarkEnd w:id="14"/>
      <w:bookmarkEnd w:id="15"/>
    </w:p>
    <w:p w14:paraId="193EB75D" w14:textId="77777777" w:rsidR="003645F6" w:rsidRPr="002E41A8" w:rsidRDefault="003645F6" w:rsidP="003645F6">
      <w:pPr>
        <w:pStyle w:val="NormalNonumber"/>
        <w:rPr>
          <w:lang w:val="fr-FR"/>
        </w:rPr>
      </w:pPr>
      <w:r w:rsidRPr="002E41A8">
        <w:rPr>
          <w:lang w:val="fr-FR"/>
        </w:rPr>
        <w:t>4.</w:t>
      </w:r>
      <w:r w:rsidRPr="002E41A8">
        <w:rPr>
          <w:lang w:val="fr-FR"/>
        </w:rPr>
        <w:tab/>
      </w:r>
      <w:r>
        <w:rPr>
          <w:lang w:val="fr-FR"/>
        </w:rPr>
        <w:t>C</w:t>
      </w:r>
      <w:r w:rsidRPr="002E41A8">
        <w:rPr>
          <w:lang w:val="fr-FR"/>
        </w:rPr>
        <w:t xml:space="preserve">ompte </w:t>
      </w:r>
      <w:r>
        <w:rPr>
          <w:lang w:val="fr-FR"/>
        </w:rPr>
        <w:t xml:space="preserve">tenu </w:t>
      </w:r>
      <w:r w:rsidRPr="002E41A8">
        <w:rPr>
          <w:lang w:val="fr-FR"/>
        </w:rPr>
        <w:t>de</w:t>
      </w:r>
      <w:r>
        <w:rPr>
          <w:lang w:val="fr-FR"/>
        </w:rPr>
        <w:t xml:space="preserve"> la </w:t>
      </w:r>
      <w:r w:rsidRPr="002E41A8">
        <w:rPr>
          <w:lang w:val="fr-FR"/>
        </w:rPr>
        <w:t>volonté de</w:t>
      </w:r>
      <w:r>
        <w:rPr>
          <w:lang w:val="fr-FR"/>
        </w:rPr>
        <w:t xml:space="preserve"> la </w:t>
      </w:r>
      <w:r w:rsidRPr="002E41A8">
        <w:rPr>
          <w:lang w:val="fr-FR"/>
        </w:rPr>
        <w:t>Conférence</w:t>
      </w:r>
      <w:r>
        <w:rPr>
          <w:lang w:val="fr-FR"/>
        </w:rPr>
        <w:t xml:space="preserve"> des </w:t>
      </w:r>
      <w:r w:rsidRPr="002E41A8">
        <w:rPr>
          <w:lang w:val="fr-FR"/>
        </w:rPr>
        <w:t>Parties de renforcer</w:t>
      </w:r>
      <w:r>
        <w:rPr>
          <w:lang w:val="fr-FR"/>
        </w:rPr>
        <w:t xml:space="preserve"> les </w:t>
      </w:r>
      <w:r w:rsidRPr="002E41A8">
        <w:rPr>
          <w:lang w:val="fr-FR"/>
        </w:rPr>
        <w:t>capacités du groupe spécial d</w:t>
      </w:r>
      <w:r>
        <w:rPr>
          <w:lang w:val="fr-FR"/>
        </w:rPr>
        <w:t>’</w:t>
      </w:r>
      <w:r w:rsidRPr="002E41A8">
        <w:rPr>
          <w:lang w:val="fr-FR"/>
        </w:rPr>
        <w:t>experts techniques dans</w:t>
      </w:r>
      <w:r>
        <w:rPr>
          <w:lang w:val="fr-FR"/>
        </w:rPr>
        <w:t xml:space="preserve"> le </w:t>
      </w:r>
      <w:r w:rsidRPr="002E41A8">
        <w:rPr>
          <w:lang w:val="fr-FR"/>
        </w:rPr>
        <w:t>domaine de l</w:t>
      </w:r>
      <w:r>
        <w:rPr>
          <w:lang w:val="fr-FR"/>
        </w:rPr>
        <w:t>’</w:t>
      </w:r>
      <w:r w:rsidRPr="002E41A8">
        <w:rPr>
          <w:lang w:val="fr-FR"/>
        </w:rPr>
        <w:t>évaluation de l</w:t>
      </w:r>
      <w:r>
        <w:rPr>
          <w:lang w:val="fr-FR"/>
        </w:rPr>
        <w:t>’</w:t>
      </w:r>
      <w:r w:rsidRPr="002E41A8">
        <w:rPr>
          <w:lang w:val="fr-FR"/>
        </w:rPr>
        <w:t>efficacité,</w:t>
      </w:r>
      <w:r>
        <w:rPr>
          <w:lang w:val="fr-FR"/>
        </w:rPr>
        <w:t xml:space="preserve"> les </w:t>
      </w:r>
      <w:r w:rsidRPr="002E41A8">
        <w:rPr>
          <w:lang w:val="fr-FR"/>
        </w:rPr>
        <w:t xml:space="preserve">membres du groupe </w:t>
      </w:r>
      <w:r>
        <w:rPr>
          <w:lang w:val="fr-FR"/>
        </w:rPr>
        <w:t>peuvent rester en fonctions jusqu’à décision contraire des </w:t>
      </w:r>
      <w:r w:rsidRPr="002E41A8">
        <w:rPr>
          <w:lang w:val="fr-FR"/>
        </w:rPr>
        <w:t xml:space="preserve">régions </w:t>
      </w:r>
      <w:r>
        <w:rPr>
          <w:lang w:val="fr-FR"/>
        </w:rPr>
        <w:t>qui les ont désignés</w:t>
      </w:r>
      <w:r w:rsidRPr="002E41A8">
        <w:rPr>
          <w:lang w:val="fr-FR"/>
        </w:rPr>
        <w:t>.</w:t>
      </w:r>
    </w:p>
    <w:p w14:paraId="160D1D97" w14:textId="77777777" w:rsidR="003645F6" w:rsidRPr="002E41A8" w:rsidRDefault="003645F6" w:rsidP="003645F6">
      <w:pPr>
        <w:pStyle w:val="NormalNonumber"/>
        <w:rPr>
          <w:lang w:val="fr-FR"/>
        </w:rPr>
      </w:pPr>
      <w:r w:rsidRPr="002E41A8">
        <w:rPr>
          <w:lang w:val="fr-FR"/>
        </w:rPr>
        <w:t>5.</w:t>
      </w:r>
      <w:r w:rsidRPr="002E41A8">
        <w:rPr>
          <w:lang w:val="fr-FR"/>
        </w:rPr>
        <w:tab/>
        <w:t>Le groupe invitera jusqu</w:t>
      </w:r>
      <w:r>
        <w:rPr>
          <w:lang w:val="fr-FR"/>
        </w:rPr>
        <w:t>’</w:t>
      </w:r>
      <w:r w:rsidRPr="002E41A8">
        <w:rPr>
          <w:lang w:val="fr-FR"/>
        </w:rPr>
        <w:t>à 10 experts de</w:t>
      </w:r>
      <w:r>
        <w:rPr>
          <w:lang w:val="fr-FR"/>
        </w:rPr>
        <w:t xml:space="preserve"> la </w:t>
      </w:r>
      <w:r w:rsidRPr="002E41A8">
        <w:rPr>
          <w:lang w:val="fr-FR"/>
        </w:rPr>
        <w:t>société civile, d</w:t>
      </w:r>
      <w:r>
        <w:rPr>
          <w:lang w:val="fr-FR"/>
        </w:rPr>
        <w:t>’</w:t>
      </w:r>
      <w:r w:rsidRPr="002E41A8">
        <w:rPr>
          <w:lang w:val="fr-FR"/>
        </w:rPr>
        <w:t>organisations autochtones, d</w:t>
      </w:r>
      <w:r>
        <w:rPr>
          <w:lang w:val="fr-FR"/>
        </w:rPr>
        <w:t>’</w:t>
      </w:r>
      <w:r w:rsidRPr="002E41A8">
        <w:rPr>
          <w:lang w:val="fr-FR"/>
        </w:rPr>
        <w:t>organisations intergouvernementales, de l</w:t>
      </w:r>
      <w:r>
        <w:rPr>
          <w:lang w:val="fr-FR"/>
        </w:rPr>
        <w:t>’</w:t>
      </w:r>
      <w:r w:rsidRPr="002E41A8">
        <w:rPr>
          <w:lang w:val="fr-FR"/>
        </w:rPr>
        <w:t xml:space="preserve">industrie et du Partenariat mondial </w:t>
      </w:r>
      <w:r w:rsidRPr="00E46E5F">
        <w:rPr>
          <w:lang w:val="fr-FR"/>
        </w:rPr>
        <w:t>sur</w:t>
      </w:r>
      <w:r>
        <w:rPr>
          <w:lang w:val="fr-FR"/>
        </w:rPr>
        <w:t xml:space="preserve"> le </w:t>
      </w:r>
      <w:r w:rsidRPr="00E46E5F">
        <w:rPr>
          <w:lang w:val="fr-FR"/>
        </w:rPr>
        <w:t xml:space="preserve">mercure </w:t>
      </w:r>
      <w:r w:rsidRPr="002E41A8">
        <w:rPr>
          <w:lang w:val="fr-FR"/>
        </w:rPr>
        <w:t>du Programme</w:t>
      </w:r>
      <w:r>
        <w:rPr>
          <w:lang w:val="fr-FR"/>
        </w:rPr>
        <w:t xml:space="preserve"> des </w:t>
      </w:r>
      <w:r w:rsidRPr="002E41A8">
        <w:rPr>
          <w:lang w:val="fr-FR"/>
        </w:rPr>
        <w:t>Nations Unies pour l</w:t>
      </w:r>
      <w:r>
        <w:rPr>
          <w:lang w:val="fr-FR"/>
        </w:rPr>
        <w:t>’</w:t>
      </w:r>
      <w:r w:rsidRPr="002E41A8">
        <w:rPr>
          <w:lang w:val="fr-FR"/>
        </w:rPr>
        <w:t>environnement à participer en qualité d</w:t>
      </w:r>
      <w:r>
        <w:rPr>
          <w:lang w:val="fr-FR"/>
        </w:rPr>
        <w:t>’</w:t>
      </w:r>
      <w:r w:rsidRPr="002E41A8">
        <w:rPr>
          <w:lang w:val="fr-FR"/>
        </w:rPr>
        <w:t>observateurs. Les observateurs seront choisis de manière équilibrée parmi</w:t>
      </w:r>
      <w:r>
        <w:rPr>
          <w:lang w:val="fr-FR"/>
        </w:rPr>
        <w:t xml:space="preserve"> les </w:t>
      </w:r>
      <w:r w:rsidRPr="002E41A8">
        <w:rPr>
          <w:lang w:val="fr-FR"/>
        </w:rPr>
        <w:t>groupes susmentionnés, en privilégiant</w:t>
      </w:r>
      <w:r>
        <w:rPr>
          <w:lang w:val="fr-FR"/>
        </w:rPr>
        <w:t xml:space="preserve"> les </w:t>
      </w:r>
      <w:r w:rsidRPr="002E41A8">
        <w:rPr>
          <w:lang w:val="fr-FR"/>
        </w:rPr>
        <w:t>compétences techniques pertinentes dans</w:t>
      </w:r>
      <w:r>
        <w:rPr>
          <w:lang w:val="fr-FR"/>
        </w:rPr>
        <w:t xml:space="preserve"> le </w:t>
      </w:r>
      <w:r w:rsidRPr="002E41A8">
        <w:rPr>
          <w:lang w:val="fr-FR"/>
        </w:rPr>
        <w:t>domaine de l</w:t>
      </w:r>
      <w:r>
        <w:rPr>
          <w:lang w:val="fr-FR"/>
        </w:rPr>
        <w:t>’</w:t>
      </w:r>
      <w:r w:rsidRPr="002E41A8">
        <w:rPr>
          <w:lang w:val="fr-FR"/>
        </w:rPr>
        <w:t>évaluation de l</w:t>
      </w:r>
      <w:r>
        <w:rPr>
          <w:lang w:val="fr-FR"/>
        </w:rPr>
        <w:t>’</w:t>
      </w:r>
      <w:r w:rsidRPr="002E41A8">
        <w:rPr>
          <w:lang w:val="fr-FR"/>
        </w:rPr>
        <w:t>efficacité.</w:t>
      </w:r>
    </w:p>
    <w:p w14:paraId="1034E32E" w14:textId="77777777" w:rsidR="003645F6" w:rsidRPr="002E41A8" w:rsidRDefault="003645F6" w:rsidP="003645F6">
      <w:pPr>
        <w:pStyle w:val="CH1"/>
        <w:rPr>
          <w:lang w:val="fr-FR"/>
        </w:rPr>
      </w:pPr>
      <w:r>
        <w:rPr>
          <w:lang w:val="fr-FR"/>
        </w:rPr>
        <w:tab/>
      </w:r>
      <w:bookmarkStart w:id="16" w:name="_Toc13750085"/>
      <w:bookmarkStart w:id="17" w:name="_Toc14185203"/>
      <w:r w:rsidRPr="002E41A8">
        <w:rPr>
          <w:lang w:val="fr-FR"/>
        </w:rPr>
        <w:t>III.</w:t>
      </w:r>
      <w:r w:rsidRPr="002E41A8">
        <w:rPr>
          <w:lang w:val="fr-FR"/>
        </w:rPr>
        <w:tab/>
        <w:t>Qualifications révisées</w:t>
      </w:r>
      <w:bookmarkStart w:id="18" w:name="_Toc7079453"/>
      <w:bookmarkEnd w:id="16"/>
      <w:bookmarkEnd w:id="17"/>
      <w:bookmarkEnd w:id="18"/>
    </w:p>
    <w:p w14:paraId="57FC0D76" w14:textId="77777777" w:rsidR="003645F6" w:rsidRPr="002E41A8" w:rsidRDefault="003645F6" w:rsidP="003645F6">
      <w:pPr>
        <w:pStyle w:val="NormalNonumber"/>
        <w:rPr>
          <w:lang w:val="fr-FR"/>
        </w:rPr>
      </w:pPr>
      <w:r>
        <w:rPr>
          <w:lang w:val="fr-FR"/>
        </w:rPr>
        <w:t>6.</w:t>
      </w:r>
      <w:r>
        <w:rPr>
          <w:lang w:val="fr-FR"/>
        </w:rPr>
        <w:tab/>
      </w:r>
      <w:r w:rsidRPr="002E41A8">
        <w:rPr>
          <w:lang w:val="fr-FR"/>
        </w:rPr>
        <w:t>Les qualifications ci-après sont ajoutées comme suit :</w:t>
      </w:r>
    </w:p>
    <w:p w14:paraId="7B9D5915" w14:textId="77777777" w:rsidR="003645F6" w:rsidRPr="002E41A8" w:rsidRDefault="003645F6" w:rsidP="003645F6">
      <w:pPr>
        <w:pStyle w:val="NormalNonumber"/>
        <w:rPr>
          <w:lang w:val="fr-FR"/>
        </w:rPr>
      </w:pPr>
      <w:r>
        <w:rPr>
          <w:lang w:val="fr-FR"/>
        </w:rPr>
        <w:tab/>
        <w:t>a)</w:t>
      </w:r>
      <w:r>
        <w:rPr>
          <w:lang w:val="fr-FR"/>
        </w:rPr>
        <w:tab/>
      </w:r>
      <w:r w:rsidRPr="002E41A8">
        <w:rPr>
          <w:lang w:val="fr-FR"/>
        </w:rPr>
        <w:t>Annexe II de</w:t>
      </w:r>
      <w:r>
        <w:rPr>
          <w:lang w:val="fr-FR"/>
        </w:rPr>
        <w:t xml:space="preserve"> la </w:t>
      </w:r>
      <w:r w:rsidRPr="002E41A8">
        <w:rPr>
          <w:lang w:val="fr-FR"/>
        </w:rPr>
        <w:t>décision MC-1/9, section III c) : connaissances techniques en matière de cadres d</w:t>
      </w:r>
      <w:r>
        <w:rPr>
          <w:lang w:val="fr-FR"/>
        </w:rPr>
        <w:t>’</w:t>
      </w:r>
      <w:r w:rsidRPr="002E41A8">
        <w:rPr>
          <w:lang w:val="fr-FR"/>
        </w:rPr>
        <w:t>évaluation, conformément aux indications du Groupe</w:t>
      </w:r>
      <w:r>
        <w:rPr>
          <w:lang w:val="fr-FR"/>
        </w:rPr>
        <w:t xml:space="preserve"> des </w:t>
      </w:r>
      <w:r w:rsidRPr="002E41A8">
        <w:rPr>
          <w:lang w:val="fr-FR"/>
        </w:rPr>
        <w:t>Nations Unies pour l</w:t>
      </w:r>
      <w:r>
        <w:rPr>
          <w:lang w:val="fr-FR"/>
        </w:rPr>
        <w:t>’</w:t>
      </w:r>
      <w:r w:rsidRPr="002E41A8">
        <w:rPr>
          <w:lang w:val="fr-FR"/>
        </w:rPr>
        <w:t xml:space="preserve">évaluation, ou </w:t>
      </w:r>
      <w:r>
        <w:rPr>
          <w:lang w:val="fr-FR"/>
        </w:rPr>
        <w:t xml:space="preserve">en matière </w:t>
      </w:r>
      <w:r w:rsidRPr="002E41A8">
        <w:rPr>
          <w:lang w:val="fr-FR"/>
        </w:rPr>
        <w:t>de surveillance et d</w:t>
      </w:r>
      <w:r>
        <w:rPr>
          <w:lang w:val="fr-FR"/>
        </w:rPr>
        <w:t>’</w:t>
      </w:r>
      <w:r w:rsidRPr="002E41A8">
        <w:rPr>
          <w:lang w:val="fr-FR"/>
        </w:rPr>
        <w:t>évaluation de</w:t>
      </w:r>
      <w:r>
        <w:rPr>
          <w:lang w:val="fr-FR"/>
        </w:rPr>
        <w:t xml:space="preserve"> la </w:t>
      </w:r>
      <w:r w:rsidRPr="002E41A8">
        <w:rPr>
          <w:lang w:val="fr-FR"/>
        </w:rPr>
        <w:t>gestion de projets, conformément aux indications du Comité d</w:t>
      </w:r>
      <w:r>
        <w:rPr>
          <w:lang w:val="fr-FR"/>
        </w:rPr>
        <w:t>’</w:t>
      </w:r>
      <w:r w:rsidRPr="002E41A8">
        <w:rPr>
          <w:lang w:val="fr-FR"/>
        </w:rPr>
        <w:t>aide au développement de l</w:t>
      </w:r>
      <w:r>
        <w:rPr>
          <w:lang w:val="fr-FR"/>
        </w:rPr>
        <w:t>’</w:t>
      </w:r>
      <w:r w:rsidRPr="002E41A8">
        <w:rPr>
          <w:lang w:val="fr-FR"/>
        </w:rPr>
        <w:t>Organisation de coopération et de développement économiques ;</w:t>
      </w:r>
    </w:p>
    <w:p w14:paraId="5E6F6613" w14:textId="77777777" w:rsidR="003645F6" w:rsidRPr="002E41A8" w:rsidRDefault="003645F6" w:rsidP="003645F6">
      <w:pPr>
        <w:pStyle w:val="NormalNonumber"/>
        <w:rPr>
          <w:lang w:val="fr-FR"/>
        </w:rPr>
      </w:pPr>
      <w:r>
        <w:rPr>
          <w:lang w:val="fr-FR"/>
        </w:rPr>
        <w:tab/>
        <w:t>b)</w:t>
      </w:r>
      <w:r>
        <w:rPr>
          <w:lang w:val="fr-FR"/>
        </w:rPr>
        <w:tab/>
      </w:r>
      <w:r w:rsidRPr="002E41A8">
        <w:rPr>
          <w:lang w:val="fr-FR"/>
        </w:rPr>
        <w:t>Annexe II de</w:t>
      </w:r>
      <w:r>
        <w:rPr>
          <w:lang w:val="fr-FR"/>
        </w:rPr>
        <w:t xml:space="preserve"> la </w:t>
      </w:r>
      <w:r w:rsidRPr="002E41A8">
        <w:rPr>
          <w:lang w:val="fr-FR"/>
        </w:rPr>
        <w:t>décision MC-1/9, section III a) : expérience en matière de processus écosyst</w:t>
      </w:r>
      <w:r>
        <w:rPr>
          <w:lang w:val="fr-FR"/>
        </w:rPr>
        <w:t>émiqu</w:t>
      </w:r>
      <w:r w:rsidRPr="002E41A8">
        <w:rPr>
          <w:lang w:val="fr-FR"/>
        </w:rPr>
        <w:t xml:space="preserve">es ou connaissances </w:t>
      </w:r>
      <w:r>
        <w:rPr>
          <w:lang w:val="fr-FR"/>
        </w:rPr>
        <w:t>spécialisé</w:t>
      </w:r>
      <w:r w:rsidRPr="002E41A8">
        <w:rPr>
          <w:lang w:val="fr-FR"/>
        </w:rPr>
        <w:t xml:space="preserve">es en matière de prévisions à long terme </w:t>
      </w:r>
      <w:r w:rsidRPr="005410C8">
        <w:rPr>
          <w:lang w:val="fr-FR"/>
        </w:rPr>
        <w:t>de l</w:t>
      </w:r>
      <w:r>
        <w:rPr>
          <w:lang w:val="fr-FR"/>
        </w:rPr>
        <w:t>’</w:t>
      </w:r>
      <w:r w:rsidRPr="005410C8">
        <w:rPr>
          <w:lang w:val="fr-FR"/>
        </w:rPr>
        <w:t>état de l</w:t>
      </w:r>
      <w:r>
        <w:rPr>
          <w:lang w:val="fr-FR"/>
        </w:rPr>
        <w:t>’</w:t>
      </w:r>
      <w:r w:rsidRPr="005410C8">
        <w:rPr>
          <w:lang w:val="fr-FR"/>
        </w:rPr>
        <w:t xml:space="preserve">environnement </w:t>
      </w:r>
      <w:r>
        <w:rPr>
          <w:lang w:val="fr-FR"/>
        </w:rPr>
        <w:t xml:space="preserve">à partir de scénarios ainsi qu’en matière </w:t>
      </w:r>
      <w:r w:rsidRPr="002E41A8">
        <w:rPr>
          <w:lang w:val="fr-FR"/>
        </w:rPr>
        <w:t>d</w:t>
      </w:r>
      <w:r>
        <w:rPr>
          <w:lang w:val="fr-FR"/>
        </w:rPr>
        <w:t>’</w:t>
      </w:r>
      <w:r w:rsidRPr="002E41A8">
        <w:rPr>
          <w:lang w:val="fr-FR"/>
        </w:rPr>
        <w:t>études d</w:t>
      </w:r>
      <w:r>
        <w:rPr>
          <w:lang w:val="fr-FR"/>
        </w:rPr>
        <w:t>’</w:t>
      </w:r>
      <w:r w:rsidRPr="002E41A8">
        <w:rPr>
          <w:lang w:val="fr-FR"/>
        </w:rPr>
        <w:t>impact pluridisciplinaires.</w:t>
      </w:r>
    </w:p>
    <w:p w14:paraId="72ABD305" w14:textId="77777777" w:rsidR="003645F6" w:rsidRPr="002E41A8" w:rsidRDefault="003645F6" w:rsidP="003645F6">
      <w:pPr>
        <w:pStyle w:val="CH2"/>
        <w:rPr>
          <w:lang w:val="fr-FR"/>
        </w:rPr>
      </w:pPr>
      <w:r>
        <w:rPr>
          <w:lang w:val="fr-FR"/>
        </w:rPr>
        <w:tab/>
      </w:r>
      <w:r>
        <w:rPr>
          <w:lang w:val="fr-FR"/>
        </w:rPr>
        <w:tab/>
      </w:r>
      <w:bookmarkStart w:id="19" w:name="_Toc13750086"/>
      <w:bookmarkStart w:id="20" w:name="_Toc14185204"/>
      <w:r w:rsidRPr="002E41A8">
        <w:rPr>
          <w:lang w:val="fr-FR"/>
        </w:rPr>
        <w:t>Annexe II à</w:t>
      </w:r>
      <w:r>
        <w:rPr>
          <w:lang w:val="fr-FR"/>
        </w:rPr>
        <w:t xml:space="preserve"> la </w:t>
      </w:r>
      <w:r w:rsidRPr="002E41A8">
        <w:rPr>
          <w:lang w:val="fr-FR"/>
        </w:rPr>
        <w:t>décision MC-2/10</w:t>
      </w:r>
      <w:bookmarkEnd w:id="19"/>
      <w:bookmarkEnd w:id="20"/>
    </w:p>
    <w:p w14:paraId="44CB6B24" w14:textId="77777777" w:rsidR="003645F6" w:rsidRPr="002E41A8" w:rsidRDefault="003645F6" w:rsidP="003645F6">
      <w:pPr>
        <w:pStyle w:val="CH2"/>
        <w:rPr>
          <w:lang w:val="fr-FR"/>
        </w:rPr>
      </w:pPr>
      <w:r>
        <w:rPr>
          <w:lang w:val="fr-FR"/>
        </w:rPr>
        <w:tab/>
      </w:r>
      <w:r>
        <w:rPr>
          <w:lang w:val="fr-FR"/>
        </w:rPr>
        <w:tab/>
      </w:r>
      <w:bookmarkStart w:id="21" w:name="_Toc13750087"/>
      <w:bookmarkStart w:id="22" w:name="_Toc14185205"/>
      <w:r w:rsidRPr="002E41A8">
        <w:rPr>
          <w:lang w:val="fr-FR"/>
        </w:rPr>
        <w:t>Projet de feuille de route pour l</w:t>
      </w:r>
      <w:r>
        <w:rPr>
          <w:lang w:val="fr-FR"/>
        </w:rPr>
        <w:t>’</w:t>
      </w:r>
      <w:r w:rsidRPr="002E41A8">
        <w:rPr>
          <w:lang w:val="fr-FR"/>
        </w:rPr>
        <w:t>élaboration du rapport du groupe spécial d</w:t>
      </w:r>
      <w:r>
        <w:rPr>
          <w:lang w:val="fr-FR"/>
        </w:rPr>
        <w:t>’</w:t>
      </w:r>
      <w:r w:rsidRPr="002E41A8">
        <w:rPr>
          <w:lang w:val="fr-FR"/>
        </w:rPr>
        <w:t>experts techniques sur l</w:t>
      </w:r>
      <w:r>
        <w:rPr>
          <w:lang w:val="fr-FR"/>
        </w:rPr>
        <w:t>’</w:t>
      </w:r>
      <w:r w:rsidRPr="002E41A8">
        <w:rPr>
          <w:lang w:val="fr-FR"/>
        </w:rPr>
        <w:t>évaluation de l</w:t>
      </w:r>
      <w:r>
        <w:rPr>
          <w:lang w:val="fr-FR"/>
        </w:rPr>
        <w:t>’</w:t>
      </w:r>
      <w:r w:rsidRPr="002E41A8">
        <w:rPr>
          <w:lang w:val="fr-FR"/>
        </w:rPr>
        <w:t>efficacité en vue de</w:t>
      </w:r>
      <w:r>
        <w:rPr>
          <w:lang w:val="fr-FR"/>
        </w:rPr>
        <w:t xml:space="preserve"> la </w:t>
      </w:r>
      <w:r w:rsidRPr="002E41A8">
        <w:rPr>
          <w:lang w:val="fr-FR"/>
        </w:rPr>
        <w:t>troisième réunion de</w:t>
      </w:r>
      <w:r>
        <w:rPr>
          <w:lang w:val="fr-FR"/>
        </w:rPr>
        <w:t xml:space="preserve"> la </w:t>
      </w:r>
      <w:r w:rsidRPr="002E41A8">
        <w:rPr>
          <w:lang w:val="fr-FR"/>
        </w:rPr>
        <w:t>Conférence</w:t>
      </w:r>
      <w:r>
        <w:rPr>
          <w:lang w:val="fr-FR"/>
        </w:rPr>
        <w:t xml:space="preserve"> des </w:t>
      </w:r>
      <w:r w:rsidRPr="002E41A8">
        <w:rPr>
          <w:lang w:val="fr-FR"/>
        </w:rPr>
        <w:t>Parties</w:t>
      </w:r>
      <w:bookmarkEnd w:id="21"/>
      <w:bookmarkEnd w:id="22"/>
    </w:p>
    <w:tbl>
      <w:tblPr>
        <w:tblW w:w="8363" w:type="dxa"/>
        <w:jc w:val="right"/>
        <w:shd w:val="clear" w:color="auto" w:fill="CED7E7"/>
        <w:tblLayout w:type="fixed"/>
        <w:tblLook w:val="04A0" w:firstRow="1" w:lastRow="0" w:firstColumn="1" w:lastColumn="0" w:noHBand="0" w:noVBand="1"/>
      </w:tblPr>
      <w:tblGrid>
        <w:gridCol w:w="6163"/>
        <w:gridCol w:w="2200"/>
      </w:tblGrid>
      <w:tr w:rsidR="003645F6" w:rsidRPr="0064100E" w14:paraId="4DB335A1" w14:textId="77777777" w:rsidTr="004E0423">
        <w:trPr>
          <w:trHeight w:val="57"/>
          <w:jc w:val="right"/>
        </w:trPr>
        <w:tc>
          <w:tcPr>
            <w:tcW w:w="5954" w:type="dxa"/>
            <w:tcBorders>
              <w:top w:val="single" w:sz="4" w:space="0" w:color="auto"/>
              <w:bottom w:val="single" w:sz="12" w:space="0" w:color="auto"/>
            </w:tcBorders>
            <w:shd w:val="clear" w:color="auto" w:fill="auto"/>
            <w:tcMar>
              <w:top w:w="80" w:type="dxa"/>
              <w:left w:w="80" w:type="dxa"/>
              <w:bottom w:w="80" w:type="dxa"/>
              <w:right w:w="80" w:type="dxa"/>
            </w:tcMar>
          </w:tcPr>
          <w:p w14:paraId="4ADA1586" w14:textId="77777777" w:rsidR="003645F6" w:rsidRPr="0064100E" w:rsidRDefault="003645F6" w:rsidP="004E0423">
            <w:pPr>
              <w:pStyle w:val="Normalpool"/>
              <w:rPr>
                <w:i/>
                <w:sz w:val="18"/>
                <w:szCs w:val="18"/>
              </w:rPr>
            </w:pPr>
            <w:r w:rsidRPr="0064100E">
              <w:rPr>
                <w:i/>
                <w:sz w:val="18"/>
                <w:szCs w:val="18"/>
              </w:rPr>
              <w:t>Activité</w:t>
            </w:r>
          </w:p>
        </w:tc>
        <w:tc>
          <w:tcPr>
            <w:tcW w:w="2126" w:type="dxa"/>
            <w:tcBorders>
              <w:top w:val="single" w:sz="4" w:space="0" w:color="auto"/>
              <w:bottom w:val="single" w:sz="12" w:space="0" w:color="auto"/>
            </w:tcBorders>
            <w:shd w:val="clear" w:color="auto" w:fill="auto"/>
            <w:tcMar>
              <w:top w:w="80" w:type="dxa"/>
              <w:left w:w="80" w:type="dxa"/>
              <w:bottom w:w="80" w:type="dxa"/>
              <w:right w:w="80" w:type="dxa"/>
            </w:tcMar>
          </w:tcPr>
          <w:p w14:paraId="2B78A087" w14:textId="77777777" w:rsidR="003645F6" w:rsidRPr="0064100E" w:rsidRDefault="003645F6" w:rsidP="004E0423">
            <w:pPr>
              <w:pStyle w:val="Normalpool"/>
              <w:rPr>
                <w:i/>
                <w:sz w:val="18"/>
                <w:szCs w:val="18"/>
              </w:rPr>
            </w:pPr>
            <w:r w:rsidRPr="0064100E">
              <w:rPr>
                <w:i/>
                <w:sz w:val="18"/>
                <w:szCs w:val="18"/>
              </w:rPr>
              <w:t>Calendrier</w:t>
            </w:r>
          </w:p>
        </w:tc>
      </w:tr>
      <w:tr w:rsidR="003645F6" w:rsidRPr="0064100E" w14:paraId="2B3EF61E" w14:textId="77777777" w:rsidTr="004E0423">
        <w:trPr>
          <w:trHeight w:val="57"/>
          <w:jc w:val="right"/>
        </w:trPr>
        <w:tc>
          <w:tcPr>
            <w:tcW w:w="5954" w:type="dxa"/>
            <w:tcBorders>
              <w:top w:val="single" w:sz="12" w:space="0" w:color="auto"/>
            </w:tcBorders>
            <w:shd w:val="clear" w:color="auto" w:fill="auto"/>
            <w:tcMar>
              <w:top w:w="80" w:type="dxa"/>
              <w:left w:w="80" w:type="dxa"/>
              <w:bottom w:w="80" w:type="dxa"/>
              <w:right w:w="80" w:type="dxa"/>
            </w:tcMar>
          </w:tcPr>
          <w:p w14:paraId="6F1D527A" w14:textId="77777777" w:rsidR="003645F6" w:rsidRPr="0064100E" w:rsidRDefault="003645F6" w:rsidP="004E0423">
            <w:pPr>
              <w:pStyle w:val="Normalpool"/>
              <w:rPr>
                <w:sz w:val="18"/>
                <w:szCs w:val="18"/>
              </w:rPr>
            </w:pPr>
            <w:r w:rsidRPr="0064100E">
              <w:rPr>
                <w:sz w:val="18"/>
                <w:szCs w:val="18"/>
              </w:rPr>
              <w:t>Créer le groupe spécial d</w:t>
            </w:r>
            <w:r>
              <w:rPr>
                <w:sz w:val="18"/>
                <w:szCs w:val="18"/>
              </w:rPr>
              <w:t>’</w:t>
            </w:r>
            <w:r w:rsidRPr="0064100E">
              <w:rPr>
                <w:sz w:val="18"/>
                <w:szCs w:val="18"/>
              </w:rPr>
              <w:t>experts techniques conformément à la composition et aux qualifications révisées définies dans l</w:t>
            </w:r>
            <w:r>
              <w:rPr>
                <w:sz w:val="18"/>
                <w:szCs w:val="18"/>
              </w:rPr>
              <w:t>’</w:t>
            </w:r>
            <w:r w:rsidRPr="0064100E">
              <w:rPr>
                <w:sz w:val="18"/>
                <w:szCs w:val="18"/>
              </w:rPr>
              <w:t>annexe I de la décision MC-2/10</w:t>
            </w:r>
          </w:p>
        </w:tc>
        <w:tc>
          <w:tcPr>
            <w:tcW w:w="2126" w:type="dxa"/>
            <w:tcBorders>
              <w:top w:val="single" w:sz="12" w:space="0" w:color="auto"/>
            </w:tcBorders>
            <w:shd w:val="clear" w:color="auto" w:fill="auto"/>
            <w:tcMar>
              <w:top w:w="80" w:type="dxa"/>
              <w:left w:w="80" w:type="dxa"/>
              <w:bottom w:w="80" w:type="dxa"/>
              <w:right w:w="80" w:type="dxa"/>
            </w:tcMar>
          </w:tcPr>
          <w:p w14:paraId="52F20F3A" w14:textId="77777777" w:rsidR="003645F6" w:rsidRPr="0064100E" w:rsidRDefault="003645F6" w:rsidP="004E0423">
            <w:pPr>
              <w:pStyle w:val="Normalpool"/>
              <w:rPr>
                <w:sz w:val="18"/>
                <w:szCs w:val="18"/>
              </w:rPr>
            </w:pPr>
            <w:r w:rsidRPr="0064100E">
              <w:rPr>
                <w:sz w:val="18"/>
                <w:szCs w:val="18"/>
              </w:rPr>
              <w:t>Décembre 2018</w:t>
            </w:r>
          </w:p>
        </w:tc>
      </w:tr>
      <w:tr w:rsidR="003645F6" w:rsidRPr="0064100E" w14:paraId="40D0A410" w14:textId="77777777" w:rsidTr="004E0423">
        <w:trPr>
          <w:trHeight w:val="57"/>
          <w:jc w:val="right"/>
        </w:trPr>
        <w:tc>
          <w:tcPr>
            <w:tcW w:w="5954" w:type="dxa"/>
            <w:shd w:val="clear" w:color="auto" w:fill="auto"/>
            <w:tcMar>
              <w:top w:w="80" w:type="dxa"/>
              <w:left w:w="80" w:type="dxa"/>
              <w:bottom w:w="80" w:type="dxa"/>
              <w:right w:w="80" w:type="dxa"/>
            </w:tcMar>
          </w:tcPr>
          <w:p w14:paraId="2974B2C5" w14:textId="77777777" w:rsidR="003645F6" w:rsidRPr="0064100E" w:rsidRDefault="003645F6" w:rsidP="004E0423">
            <w:pPr>
              <w:pStyle w:val="Normalpool"/>
              <w:rPr>
                <w:sz w:val="18"/>
                <w:szCs w:val="18"/>
              </w:rPr>
            </w:pPr>
            <w:r w:rsidRPr="0064100E">
              <w:rPr>
                <w:sz w:val="18"/>
                <w:szCs w:val="18"/>
              </w:rPr>
              <w:lastRenderedPageBreak/>
              <w:t>Prier le secrétariat, en coopération avec les coprésidents du groupe spécial d</w:t>
            </w:r>
            <w:r>
              <w:rPr>
                <w:sz w:val="18"/>
                <w:szCs w:val="18"/>
              </w:rPr>
              <w:t>’</w:t>
            </w:r>
            <w:r w:rsidRPr="0064100E">
              <w:rPr>
                <w:sz w:val="18"/>
                <w:szCs w:val="18"/>
              </w:rPr>
              <w:t>experts techniques, d</w:t>
            </w:r>
            <w:r>
              <w:rPr>
                <w:sz w:val="18"/>
                <w:szCs w:val="18"/>
              </w:rPr>
              <w:t>’</w:t>
            </w:r>
            <w:r w:rsidRPr="0064100E">
              <w:rPr>
                <w:sz w:val="18"/>
                <w:szCs w:val="18"/>
              </w:rPr>
              <w:t>élaborer l</w:t>
            </w:r>
            <w:r>
              <w:rPr>
                <w:sz w:val="18"/>
                <w:szCs w:val="18"/>
              </w:rPr>
              <w:t>’</w:t>
            </w:r>
            <w:r w:rsidRPr="0064100E">
              <w:rPr>
                <w:sz w:val="18"/>
                <w:szCs w:val="18"/>
              </w:rPr>
              <w:t>ordre du jour et les documents d</w:t>
            </w:r>
            <w:r>
              <w:rPr>
                <w:sz w:val="18"/>
                <w:szCs w:val="18"/>
              </w:rPr>
              <w:t>’</w:t>
            </w:r>
            <w:r w:rsidRPr="0064100E">
              <w:rPr>
                <w:sz w:val="18"/>
                <w:szCs w:val="18"/>
              </w:rPr>
              <w:t>information de la réunion et de mener les discussions préparatoires</w:t>
            </w:r>
          </w:p>
        </w:tc>
        <w:tc>
          <w:tcPr>
            <w:tcW w:w="2126" w:type="dxa"/>
            <w:shd w:val="clear" w:color="auto" w:fill="auto"/>
            <w:tcMar>
              <w:top w:w="80" w:type="dxa"/>
              <w:left w:w="80" w:type="dxa"/>
              <w:bottom w:w="80" w:type="dxa"/>
              <w:right w:w="80" w:type="dxa"/>
            </w:tcMar>
          </w:tcPr>
          <w:p w14:paraId="7CFAE92F" w14:textId="77777777" w:rsidR="003645F6" w:rsidRPr="0064100E" w:rsidDel="00FA16CC" w:rsidRDefault="003645F6" w:rsidP="004E0423">
            <w:pPr>
              <w:pStyle w:val="Normalpool"/>
              <w:rPr>
                <w:sz w:val="18"/>
                <w:szCs w:val="18"/>
              </w:rPr>
            </w:pPr>
            <w:r w:rsidRPr="0064100E">
              <w:rPr>
                <w:sz w:val="18"/>
                <w:szCs w:val="18"/>
              </w:rPr>
              <w:t>Janvier 2019</w:t>
            </w:r>
          </w:p>
        </w:tc>
      </w:tr>
      <w:tr w:rsidR="003645F6" w:rsidRPr="0064100E" w14:paraId="28E613F0" w14:textId="77777777" w:rsidTr="004E0423">
        <w:trPr>
          <w:trHeight w:val="57"/>
          <w:jc w:val="right"/>
        </w:trPr>
        <w:tc>
          <w:tcPr>
            <w:tcW w:w="5954" w:type="dxa"/>
            <w:shd w:val="clear" w:color="auto" w:fill="auto"/>
            <w:tcMar>
              <w:top w:w="80" w:type="dxa"/>
              <w:left w:w="80" w:type="dxa"/>
              <w:bottom w:w="80" w:type="dxa"/>
              <w:right w:w="80" w:type="dxa"/>
            </w:tcMar>
          </w:tcPr>
          <w:p w14:paraId="1F32DA8C" w14:textId="77777777" w:rsidR="003645F6" w:rsidRPr="0064100E" w:rsidRDefault="003645F6" w:rsidP="004E0423">
            <w:pPr>
              <w:pStyle w:val="Normalpool"/>
              <w:rPr>
                <w:sz w:val="18"/>
                <w:szCs w:val="18"/>
              </w:rPr>
            </w:pPr>
            <w:r w:rsidRPr="0064100E">
              <w:rPr>
                <w:sz w:val="18"/>
                <w:szCs w:val="18"/>
              </w:rPr>
              <w:t>Prier le groupe spécial d</w:t>
            </w:r>
            <w:r>
              <w:rPr>
                <w:sz w:val="18"/>
                <w:szCs w:val="18"/>
              </w:rPr>
              <w:t>’</w:t>
            </w:r>
            <w:r w:rsidRPr="0064100E">
              <w:rPr>
                <w:sz w:val="18"/>
                <w:szCs w:val="18"/>
              </w:rPr>
              <w:t>experts techniques et les observateurs de fournir des informations et de formuler des observations conformément au mandat révisé, afin que le secrétariat les compile</w:t>
            </w:r>
          </w:p>
        </w:tc>
        <w:tc>
          <w:tcPr>
            <w:tcW w:w="2126" w:type="dxa"/>
            <w:shd w:val="clear" w:color="auto" w:fill="auto"/>
            <w:tcMar>
              <w:top w:w="80" w:type="dxa"/>
              <w:left w:w="80" w:type="dxa"/>
              <w:bottom w:w="80" w:type="dxa"/>
              <w:right w:w="80" w:type="dxa"/>
            </w:tcMar>
          </w:tcPr>
          <w:p w14:paraId="7CF6F370" w14:textId="77777777" w:rsidR="003645F6" w:rsidRPr="0064100E" w:rsidRDefault="003645F6" w:rsidP="004E0423">
            <w:pPr>
              <w:pStyle w:val="Normalpool"/>
              <w:rPr>
                <w:sz w:val="18"/>
                <w:szCs w:val="18"/>
              </w:rPr>
            </w:pPr>
            <w:r w:rsidRPr="0064100E">
              <w:rPr>
                <w:sz w:val="18"/>
                <w:szCs w:val="18"/>
              </w:rPr>
              <w:t>Avant mars 2019</w:t>
            </w:r>
          </w:p>
        </w:tc>
      </w:tr>
      <w:tr w:rsidR="003645F6" w:rsidRPr="0064100E" w14:paraId="4860FFE5" w14:textId="77777777" w:rsidTr="004E0423">
        <w:trPr>
          <w:trHeight w:val="57"/>
          <w:jc w:val="right"/>
        </w:trPr>
        <w:tc>
          <w:tcPr>
            <w:tcW w:w="5954" w:type="dxa"/>
            <w:shd w:val="clear" w:color="auto" w:fill="auto"/>
            <w:tcMar>
              <w:top w:w="80" w:type="dxa"/>
              <w:left w:w="80" w:type="dxa"/>
              <w:bottom w:w="80" w:type="dxa"/>
              <w:right w:w="80" w:type="dxa"/>
            </w:tcMar>
          </w:tcPr>
          <w:p w14:paraId="1D97A898" w14:textId="77777777" w:rsidR="003645F6" w:rsidRPr="0064100E" w:rsidRDefault="003645F6" w:rsidP="004E0423">
            <w:pPr>
              <w:pStyle w:val="Normalpool"/>
              <w:rPr>
                <w:sz w:val="18"/>
                <w:szCs w:val="18"/>
              </w:rPr>
            </w:pPr>
            <w:r w:rsidRPr="0064100E">
              <w:rPr>
                <w:sz w:val="18"/>
                <w:szCs w:val="18"/>
              </w:rPr>
              <w:t>Tenir une réunion en présentiel du groupe spécial d</w:t>
            </w:r>
            <w:r>
              <w:rPr>
                <w:sz w:val="18"/>
                <w:szCs w:val="18"/>
              </w:rPr>
              <w:t>’</w:t>
            </w:r>
            <w:r w:rsidRPr="0064100E">
              <w:rPr>
                <w:sz w:val="18"/>
                <w:szCs w:val="18"/>
              </w:rPr>
              <w:t>experts techniques</w:t>
            </w:r>
          </w:p>
        </w:tc>
        <w:tc>
          <w:tcPr>
            <w:tcW w:w="2126" w:type="dxa"/>
            <w:shd w:val="clear" w:color="auto" w:fill="auto"/>
            <w:tcMar>
              <w:top w:w="80" w:type="dxa"/>
              <w:left w:w="80" w:type="dxa"/>
              <w:bottom w:w="80" w:type="dxa"/>
              <w:right w:w="80" w:type="dxa"/>
            </w:tcMar>
          </w:tcPr>
          <w:p w14:paraId="5E2B90DB" w14:textId="77777777" w:rsidR="003645F6" w:rsidRPr="0064100E" w:rsidRDefault="003645F6" w:rsidP="004E0423">
            <w:pPr>
              <w:pStyle w:val="Normalpool"/>
              <w:rPr>
                <w:sz w:val="18"/>
                <w:szCs w:val="18"/>
              </w:rPr>
            </w:pPr>
            <w:r w:rsidRPr="0064100E">
              <w:rPr>
                <w:sz w:val="18"/>
                <w:szCs w:val="18"/>
              </w:rPr>
              <w:t>Avril 2019</w:t>
            </w:r>
          </w:p>
        </w:tc>
      </w:tr>
      <w:tr w:rsidR="003645F6" w:rsidRPr="0064100E" w14:paraId="476EA0C2" w14:textId="77777777" w:rsidTr="004E0423">
        <w:trPr>
          <w:trHeight w:val="57"/>
          <w:jc w:val="right"/>
        </w:trPr>
        <w:tc>
          <w:tcPr>
            <w:tcW w:w="5954" w:type="dxa"/>
            <w:shd w:val="clear" w:color="auto" w:fill="auto"/>
            <w:tcMar>
              <w:top w:w="80" w:type="dxa"/>
              <w:left w:w="80" w:type="dxa"/>
              <w:bottom w:w="80" w:type="dxa"/>
              <w:right w:w="80" w:type="dxa"/>
            </w:tcMar>
          </w:tcPr>
          <w:p w14:paraId="4C45C1F7" w14:textId="77777777" w:rsidR="003645F6" w:rsidRPr="0064100E" w:rsidRDefault="003645F6" w:rsidP="004E0423">
            <w:pPr>
              <w:pStyle w:val="Normalpool"/>
              <w:rPr>
                <w:sz w:val="18"/>
                <w:szCs w:val="18"/>
              </w:rPr>
            </w:pPr>
            <w:r w:rsidRPr="0064100E">
              <w:rPr>
                <w:sz w:val="18"/>
                <w:szCs w:val="18"/>
              </w:rPr>
              <w:t xml:space="preserve">Élaborer le projet de rapport révisé </w:t>
            </w:r>
          </w:p>
        </w:tc>
        <w:tc>
          <w:tcPr>
            <w:tcW w:w="2126" w:type="dxa"/>
            <w:shd w:val="clear" w:color="auto" w:fill="auto"/>
            <w:tcMar>
              <w:top w:w="80" w:type="dxa"/>
              <w:left w:w="80" w:type="dxa"/>
              <w:bottom w:w="80" w:type="dxa"/>
              <w:right w:w="80" w:type="dxa"/>
            </w:tcMar>
          </w:tcPr>
          <w:p w14:paraId="2B2F0F67" w14:textId="77777777" w:rsidR="003645F6" w:rsidRPr="0064100E" w:rsidRDefault="003645F6" w:rsidP="004E0423">
            <w:pPr>
              <w:pStyle w:val="Normalpool"/>
              <w:rPr>
                <w:sz w:val="18"/>
                <w:szCs w:val="18"/>
              </w:rPr>
            </w:pPr>
            <w:r w:rsidRPr="0064100E">
              <w:rPr>
                <w:sz w:val="18"/>
                <w:szCs w:val="18"/>
              </w:rPr>
              <w:t>Mai à juillet 2019</w:t>
            </w:r>
          </w:p>
        </w:tc>
      </w:tr>
      <w:tr w:rsidR="003645F6" w:rsidRPr="0064100E" w14:paraId="46697EA0" w14:textId="77777777" w:rsidTr="004E0423">
        <w:trPr>
          <w:trHeight w:val="57"/>
          <w:jc w:val="right"/>
        </w:trPr>
        <w:tc>
          <w:tcPr>
            <w:tcW w:w="5954" w:type="dxa"/>
            <w:shd w:val="clear" w:color="auto" w:fill="auto"/>
            <w:tcMar>
              <w:top w:w="80" w:type="dxa"/>
              <w:left w:w="80" w:type="dxa"/>
              <w:bottom w:w="80" w:type="dxa"/>
              <w:right w:w="80" w:type="dxa"/>
            </w:tcMar>
          </w:tcPr>
          <w:p w14:paraId="7A1A111C" w14:textId="77777777" w:rsidR="003645F6" w:rsidRPr="0064100E" w:rsidRDefault="003645F6" w:rsidP="004E0423">
            <w:pPr>
              <w:pStyle w:val="Normalpool"/>
              <w:rPr>
                <w:sz w:val="18"/>
                <w:szCs w:val="18"/>
              </w:rPr>
            </w:pPr>
            <w:r w:rsidRPr="0064100E">
              <w:rPr>
                <w:sz w:val="18"/>
                <w:szCs w:val="18"/>
              </w:rPr>
              <w:t>Ouvrir le projet de rapport révisé aux commentaires des Parties</w:t>
            </w:r>
          </w:p>
        </w:tc>
        <w:tc>
          <w:tcPr>
            <w:tcW w:w="2126" w:type="dxa"/>
            <w:shd w:val="clear" w:color="auto" w:fill="auto"/>
            <w:tcMar>
              <w:top w:w="80" w:type="dxa"/>
              <w:left w:w="80" w:type="dxa"/>
              <w:bottom w:w="80" w:type="dxa"/>
              <w:right w:w="80" w:type="dxa"/>
            </w:tcMar>
          </w:tcPr>
          <w:p w14:paraId="550F48D2" w14:textId="77777777" w:rsidR="003645F6" w:rsidRPr="0064100E" w:rsidRDefault="003645F6" w:rsidP="004E0423">
            <w:pPr>
              <w:pStyle w:val="Normalpool"/>
              <w:rPr>
                <w:sz w:val="18"/>
                <w:szCs w:val="18"/>
              </w:rPr>
            </w:pPr>
            <w:r w:rsidRPr="0064100E">
              <w:rPr>
                <w:sz w:val="18"/>
                <w:szCs w:val="18"/>
              </w:rPr>
              <w:t>Août à mi-septembre 2019</w:t>
            </w:r>
          </w:p>
        </w:tc>
      </w:tr>
      <w:tr w:rsidR="003645F6" w:rsidRPr="0064100E" w14:paraId="18BC326A" w14:textId="77777777" w:rsidTr="004E0423">
        <w:trPr>
          <w:trHeight w:val="57"/>
          <w:jc w:val="right"/>
        </w:trPr>
        <w:tc>
          <w:tcPr>
            <w:tcW w:w="5954" w:type="dxa"/>
            <w:shd w:val="clear" w:color="auto" w:fill="auto"/>
            <w:tcMar>
              <w:top w:w="80" w:type="dxa"/>
              <w:left w:w="80" w:type="dxa"/>
              <w:bottom w:w="80" w:type="dxa"/>
              <w:right w:w="80" w:type="dxa"/>
            </w:tcMar>
          </w:tcPr>
          <w:p w14:paraId="582B8DE6" w14:textId="77777777" w:rsidR="003645F6" w:rsidRPr="0064100E" w:rsidRDefault="003645F6" w:rsidP="004E0423">
            <w:pPr>
              <w:pStyle w:val="Normalpool"/>
              <w:rPr>
                <w:sz w:val="18"/>
                <w:szCs w:val="18"/>
              </w:rPr>
            </w:pPr>
            <w:r w:rsidRPr="0064100E">
              <w:rPr>
                <w:sz w:val="18"/>
                <w:szCs w:val="18"/>
              </w:rPr>
              <w:t>Réviser le rapport plus avant</w:t>
            </w:r>
          </w:p>
        </w:tc>
        <w:tc>
          <w:tcPr>
            <w:tcW w:w="2126" w:type="dxa"/>
            <w:shd w:val="clear" w:color="auto" w:fill="auto"/>
            <w:tcMar>
              <w:top w:w="80" w:type="dxa"/>
              <w:left w:w="80" w:type="dxa"/>
              <w:bottom w:w="80" w:type="dxa"/>
              <w:right w:w="80" w:type="dxa"/>
            </w:tcMar>
          </w:tcPr>
          <w:p w14:paraId="19EF9F3A" w14:textId="77777777" w:rsidR="003645F6" w:rsidRPr="0064100E" w:rsidRDefault="003645F6" w:rsidP="004E0423">
            <w:pPr>
              <w:pStyle w:val="Normalpool"/>
              <w:rPr>
                <w:sz w:val="18"/>
                <w:szCs w:val="18"/>
              </w:rPr>
            </w:pPr>
            <w:r w:rsidRPr="0064100E">
              <w:rPr>
                <w:sz w:val="18"/>
                <w:szCs w:val="18"/>
              </w:rPr>
              <w:t>Septembre 2019</w:t>
            </w:r>
          </w:p>
        </w:tc>
      </w:tr>
      <w:tr w:rsidR="003645F6" w:rsidRPr="0064100E" w14:paraId="575CCEBC" w14:textId="77777777" w:rsidTr="004E0423">
        <w:trPr>
          <w:trHeight w:val="57"/>
          <w:jc w:val="right"/>
        </w:trPr>
        <w:tc>
          <w:tcPr>
            <w:tcW w:w="5954" w:type="dxa"/>
            <w:tcBorders>
              <w:bottom w:val="single" w:sz="12" w:space="0" w:color="auto"/>
            </w:tcBorders>
            <w:shd w:val="clear" w:color="auto" w:fill="auto"/>
            <w:tcMar>
              <w:top w:w="80" w:type="dxa"/>
              <w:left w:w="80" w:type="dxa"/>
              <w:bottom w:w="80" w:type="dxa"/>
              <w:right w:w="80" w:type="dxa"/>
            </w:tcMar>
          </w:tcPr>
          <w:p w14:paraId="06E6C4C8" w14:textId="77777777" w:rsidR="003645F6" w:rsidRPr="0064100E" w:rsidRDefault="003645F6" w:rsidP="004E0423">
            <w:pPr>
              <w:pStyle w:val="Normalpool"/>
              <w:rPr>
                <w:sz w:val="18"/>
                <w:szCs w:val="18"/>
              </w:rPr>
            </w:pPr>
            <w:r w:rsidRPr="0064100E">
              <w:rPr>
                <w:sz w:val="18"/>
                <w:szCs w:val="18"/>
              </w:rPr>
              <w:t>Soumettre le rapport final à l</w:t>
            </w:r>
            <w:r>
              <w:rPr>
                <w:sz w:val="18"/>
                <w:szCs w:val="18"/>
              </w:rPr>
              <w:t>’</w:t>
            </w:r>
            <w:r w:rsidRPr="0064100E">
              <w:rPr>
                <w:sz w:val="18"/>
                <w:szCs w:val="18"/>
              </w:rPr>
              <w:t>examen de la Conférence des Parties à sa troisième réunion</w:t>
            </w:r>
          </w:p>
        </w:tc>
        <w:tc>
          <w:tcPr>
            <w:tcW w:w="2126" w:type="dxa"/>
            <w:tcBorders>
              <w:bottom w:val="single" w:sz="12" w:space="0" w:color="auto"/>
            </w:tcBorders>
            <w:shd w:val="clear" w:color="auto" w:fill="auto"/>
            <w:tcMar>
              <w:top w:w="80" w:type="dxa"/>
              <w:left w:w="80" w:type="dxa"/>
              <w:bottom w:w="80" w:type="dxa"/>
              <w:right w:w="80" w:type="dxa"/>
            </w:tcMar>
          </w:tcPr>
          <w:p w14:paraId="5E17EFF1" w14:textId="77777777" w:rsidR="003645F6" w:rsidRPr="0064100E" w:rsidRDefault="003645F6" w:rsidP="004E0423">
            <w:pPr>
              <w:pStyle w:val="Normalpool"/>
              <w:rPr>
                <w:sz w:val="18"/>
                <w:szCs w:val="18"/>
              </w:rPr>
            </w:pPr>
            <w:r w:rsidRPr="0064100E">
              <w:rPr>
                <w:sz w:val="18"/>
                <w:szCs w:val="18"/>
              </w:rPr>
              <w:t>Octobre 2019</w:t>
            </w:r>
          </w:p>
        </w:tc>
      </w:tr>
    </w:tbl>
    <w:p w14:paraId="29516043" w14:textId="4FB0DB14" w:rsidR="003D22DE" w:rsidRPr="003645F6" w:rsidRDefault="003D22DE" w:rsidP="003645F6">
      <w:pPr>
        <w:pStyle w:val="Normalpool"/>
      </w:pPr>
    </w:p>
    <w:sectPr w:rsidR="003D22DE" w:rsidRPr="003645F6" w:rsidSect="00064DA7">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3CEC7" w14:textId="77777777" w:rsidR="004E32F2" w:rsidRDefault="004E32F2">
      <w:r>
        <w:separator/>
      </w:r>
    </w:p>
  </w:endnote>
  <w:endnote w:type="continuationSeparator" w:id="0">
    <w:p w14:paraId="1AAB02C0" w14:textId="77777777" w:rsidR="004E32F2" w:rsidRDefault="004E32F2">
      <w:r>
        <w:continuationSeparator/>
      </w:r>
    </w:p>
  </w:endnote>
  <w:endnote w:type="continuationNotice" w:id="1">
    <w:p w14:paraId="505F43CB" w14:textId="77777777" w:rsidR="004E32F2" w:rsidRDefault="004E32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A827" w14:textId="37F061F5" w:rsidR="00853842" w:rsidRDefault="00853842">
    <w:pPr>
      <w:pStyle w:val="Footer"/>
    </w:pPr>
    <w:r>
      <w:rPr>
        <w:rStyle w:val="PageNumber"/>
      </w:rPr>
      <w:fldChar w:fldCharType="begin"/>
    </w:r>
    <w:r>
      <w:rPr>
        <w:rStyle w:val="PageNumber"/>
      </w:rPr>
      <w:instrText xml:space="preserve"> PAGE </w:instrText>
    </w:r>
    <w:r>
      <w:rPr>
        <w:rStyle w:val="PageNumber"/>
      </w:rPr>
      <w:fldChar w:fldCharType="separate"/>
    </w:r>
    <w:r w:rsidR="0048263C">
      <w:rPr>
        <w:rStyle w:val="PageNumber"/>
        <w:noProof/>
      </w:rPr>
      <w:t>64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D48B7" w14:textId="42554EB8" w:rsidR="00853842" w:rsidRDefault="00853842"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48263C">
      <w:rPr>
        <w:rStyle w:val="PageNumber"/>
        <w:noProof/>
      </w:rPr>
      <w:t>63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19573" w14:textId="78827440" w:rsidR="00853842" w:rsidRPr="00D25175" w:rsidRDefault="00853842">
    <w:pPr>
      <w:pStyle w:val="Footer"/>
      <w:rPr>
        <w:sz w:val="20"/>
      </w:rPr>
    </w:pPr>
    <w:r w:rsidRPr="00D25175">
      <w:rPr>
        <w:sz w:val="20"/>
      </w:rPr>
      <w:t>K17</w:t>
    </w:r>
    <w:r>
      <w:rPr>
        <w:sz w:val="20"/>
      </w:rPr>
      <w:t>08820</w:t>
    </w:r>
    <w:r w:rsidRPr="00D25175">
      <w:rPr>
        <w:sz w:val="20"/>
      </w:rPr>
      <w:tab/>
    </w:r>
    <w:r>
      <w:rPr>
        <w:sz w:val="20"/>
      </w:rPr>
      <w:t>160218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FDE73" w14:textId="77777777" w:rsidR="004E32F2" w:rsidRDefault="004E32F2" w:rsidP="00D92DE0">
      <w:pPr>
        <w:ind w:left="624"/>
      </w:pPr>
      <w:r>
        <w:separator/>
      </w:r>
    </w:p>
  </w:footnote>
  <w:footnote w:type="continuationSeparator" w:id="0">
    <w:p w14:paraId="5831E641" w14:textId="77777777" w:rsidR="004E32F2" w:rsidRDefault="004E32F2">
      <w:r>
        <w:continuationSeparator/>
      </w:r>
    </w:p>
  </w:footnote>
  <w:footnote w:type="continuationNotice" w:id="1">
    <w:p w14:paraId="7D28BFC4" w14:textId="77777777" w:rsidR="004E32F2" w:rsidRDefault="004E32F2"/>
  </w:footnote>
  <w:footnote w:id="2">
    <w:p w14:paraId="5FAB470C" w14:textId="77777777" w:rsidR="003645F6" w:rsidRPr="00173335" w:rsidRDefault="003645F6" w:rsidP="003645F6">
      <w:pPr>
        <w:pStyle w:val="FootnoteText"/>
      </w:pPr>
      <w:r w:rsidRPr="005465D6">
        <w:rPr>
          <w:rStyle w:val="FootnoteReference"/>
          <w:lang w:val="fr-FR"/>
        </w:rPr>
        <w:footnoteRef/>
      </w:r>
      <w:r>
        <w:rPr>
          <w:lang w:val="fr-FR"/>
        </w:rPr>
        <w:t xml:space="preserve"> UNEP/MC/COP.2/INF/8.</w:t>
      </w:r>
    </w:p>
  </w:footnote>
  <w:footnote w:id="3">
    <w:p w14:paraId="48D17B50" w14:textId="77777777" w:rsidR="003645F6" w:rsidRPr="000E787B" w:rsidRDefault="003645F6" w:rsidP="003645F6">
      <w:pPr>
        <w:pStyle w:val="FootnoteText"/>
        <w:rPr>
          <w:szCs w:val="18"/>
        </w:rPr>
      </w:pPr>
      <w:r w:rsidRPr="005465D6">
        <w:rPr>
          <w:szCs w:val="18"/>
          <w:vertAlign w:val="superscript"/>
          <w:lang w:val="fr-FR"/>
        </w:rPr>
        <w:footnoteRef/>
      </w:r>
      <w:r>
        <w:rPr>
          <w:lang w:val="fr-FR"/>
        </w:rPr>
        <w:t xml:space="preserve"> Sauf </w:t>
      </w:r>
      <w:r w:rsidRPr="000E787B">
        <w:rPr>
          <w:szCs w:val="18"/>
          <w:lang w:val="fr-FR"/>
        </w:rPr>
        <w:t>indication contraire,</w:t>
      </w:r>
      <w:r>
        <w:rPr>
          <w:szCs w:val="18"/>
          <w:lang w:val="fr-FR"/>
        </w:rPr>
        <w:t xml:space="preserve"> le </w:t>
      </w:r>
      <w:r w:rsidRPr="000E787B">
        <w:rPr>
          <w:szCs w:val="18"/>
          <w:lang w:val="fr-FR"/>
        </w:rPr>
        <w:t>mandat figurant dans</w:t>
      </w:r>
      <w:r>
        <w:rPr>
          <w:szCs w:val="18"/>
          <w:lang w:val="fr-FR"/>
        </w:rPr>
        <w:t xml:space="preserve"> la </w:t>
      </w:r>
      <w:r w:rsidRPr="000E787B">
        <w:rPr>
          <w:szCs w:val="18"/>
          <w:lang w:val="fr-FR"/>
        </w:rPr>
        <w:t>décision MC-1/9 s</w:t>
      </w:r>
      <w:r>
        <w:rPr>
          <w:szCs w:val="18"/>
          <w:lang w:val="fr-FR"/>
        </w:rPr>
        <w:t>’</w:t>
      </w:r>
      <w:r w:rsidRPr="000E787B">
        <w:rPr>
          <w:szCs w:val="18"/>
          <w:lang w:val="fr-FR"/>
        </w:rPr>
        <w:t>applique.</w:t>
      </w:r>
    </w:p>
  </w:footnote>
  <w:footnote w:id="4">
    <w:p w14:paraId="277491BE" w14:textId="77777777" w:rsidR="003645F6" w:rsidRPr="000E787B" w:rsidRDefault="003645F6" w:rsidP="003645F6">
      <w:pPr>
        <w:pStyle w:val="FootnoteText"/>
        <w:rPr>
          <w:szCs w:val="18"/>
        </w:rPr>
      </w:pPr>
      <w:r w:rsidRPr="000E787B">
        <w:rPr>
          <w:szCs w:val="18"/>
          <w:vertAlign w:val="superscript"/>
          <w:lang w:val="fr-FR"/>
        </w:rPr>
        <w:footnoteRef/>
      </w:r>
      <w:r w:rsidRPr="000E787B">
        <w:rPr>
          <w:szCs w:val="18"/>
          <w:lang w:val="fr-FR"/>
        </w:rPr>
        <w:t xml:space="preserve"> Les données disponibles comprennent aussi bien</w:t>
      </w:r>
      <w:r>
        <w:rPr>
          <w:szCs w:val="18"/>
          <w:lang w:val="fr-FR"/>
        </w:rPr>
        <w:t xml:space="preserve"> les </w:t>
      </w:r>
      <w:r w:rsidRPr="000E787B">
        <w:rPr>
          <w:szCs w:val="18"/>
          <w:lang w:val="fr-FR"/>
        </w:rPr>
        <w:t xml:space="preserve">données actuellement </w:t>
      </w:r>
      <w:r>
        <w:rPr>
          <w:szCs w:val="18"/>
          <w:lang w:val="fr-FR"/>
        </w:rPr>
        <w:t xml:space="preserve">en mains </w:t>
      </w:r>
      <w:r w:rsidRPr="000E787B">
        <w:rPr>
          <w:szCs w:val="18"/>
          <w:lang w:val="fr-FR"/>
        </w:rPr>
        <w:t xml:space="preserve">que </w:t>
      </w:r>
      <w:r>
        <w:rPr>
          <w:szCs w:val="18"/>
          <w:lang w:val="fr-FR"/>
        </w:rPr>
        <w:t>celles</w:t>
      </w:r>
      <w:r w:rsidRPr="000E787B">
        <w:rPr>
          <w:szCs w:val="18"/>
          <w:lang w:val="fr-FR"/>
        </w:rPr>
        <w:t xml:space="preserve"> qui seront </w:t>
      </w:r>
      <w:r>
        <w:rPr>
          <w:szCs w:val="18"/>
          <w:lang w:val="fr-FR"/>
        </w:rPr>
        <w:t>recueillies dans le futur</w:t>
      </w:r>
      <w:r w:rsidRPr="000E787B">
        <w:rPr>
          <w:szCs w:val="18"/>
          <w:lang w:val="fr-FR"/>
        </w:rPr>
        <w:t>.</w:t>
      </w:r>
    </w:p>
  </w:footnote>
  <w:footnote w:id="5">
    <w:p w14:paraId="3E07EC28" w14:textId="77777777" w:rsidR="003645F6" w:rsidRPr="00580FA6" w:rsidRDefault="003645F6" w:rsidP="003645F6">
      <w:pPr>
        <w:pStyle w:val="Text"/>
        <w:tabs>
          <w:tab w:val="left" w:pos="624"/>
        </w:tabs>
        <w:spacing w:before="20" w:after="40"/>
        <w:ind w:left="1247"/>
        <w:rPr>
          <w:sz w:val="18"/>
          <w:szCs w:val="18"/>
          <w:lang w:val="fr-FR"/>
        </w:rPr>
      </w:pPr>
      <w:r w:rsidRPr="000E787B">
        <w:rPr>
          <w:sz w:val="18"/>
          <w:szCs w:val="18"/>
          <w:vertAlign w:val="superscript"/>
          <w:lang w:val="fr-FR"/>
        </w:rPr>
        <w:footnoteRef/>
      </w:r>
      <w:r w:rsidRPr="000E787B">
        <w:rPr>
          <w:sz w:val="18"/>
          <w:szCs w:val="18"/>
          <w:lang w:val="fr-FR"/>
        </w:rPr>
        <w:t xml:space="preserve"> Les données sont comparables lorsqu</w:t>
      </w:r>
      <w:r>
        <w:rPr>
          <w:sz w:val="18"/>
          <w:szCs w:val="18"/>
          <w:lang w:val="fr-FR"/>
        </w:rPr>
        <w:t>’</w:t>
      </w:r>
      <w:r w:rsidRPr="000E787B">
        <w:rPr>
          <w:sz w:val="18"/>
          <w:szCs w:val="18"/>
          <w:lang w:val="fr-FR"/>
        </w:rPr>
        <w:t>elles sont collectées suivant</w:t>
      </w:r>
      <w:r>
        <w:rPr>
          <w:sz w:val="18"/>
          <w:szCs w:val="18"/>
          <w:lang w:val="fr-FR"/>
        </w:rPr>
        <w:t xml:space="preserve"> des </w:t>
      </w:r>
      <w:r w:rsidRPr="000E787B">
        <w:rPr>
          <w:sz w:val="18"/>
          <w:szCs w:val="18"/>
          <w:lang w:val="fr-FR"/>
        </w:rPr>
        <w:t>méthodes identiques. Elles peuvent également être rendues comparables par</w:t>
      </w:r>
      <w:r>
        <w:rPr>
          <w:sz w:val="18"/>
          <w:szCs w:val="18"/>
          <w:lang w:val="fr-FR"/>
        </w:rPr>
        <w:t xml:space="preserve"> le </w:t>
      </w:r>
      <w:r w:rsidRPr="000E787B">
        <w:rPr>
          <w:sz w:val="18"/>
          <w:szCs w:val="18"/>
          <w:lang w:val="fr-FR"/>
        </w:rPr>
        <w:t>biais de méthodes scientifiques normalisées et reconnues.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F4E3A" w14:textId="3A2DE798" w:rsidR="00853842" w:rsidRPr="00CA5CA9" w:rsidRDefault="00853842" w:rsidP="006B4C09">
    <w:pPr>
      <w:pStyle w:val="Header-pool"/>
    </w:pPr>
    <w:r w:rsidRPr="00CA5CA9">
      <w:rPr>
        <w:bCs/>
      </w:rPr>
      <w:t>UNEP</w:t>
    </w:r>
    <w:r w:rsidRPr="00CA5CA9">
      <w:t>/</w:t>
    </w:r>
    <w:r>
      <w:t>MC</w:t>
    </w:r>
    <w:r w:rsidRPr="00CA5CA9">
      <w:t>/</w:t>
    </w:r>
    <w:r>
      <w:t>COP.</w:t>
    </w:r>
    <w:r w:rsidR="009C5EDE">
      <w:t>2</w:t>
    </w:r>
    <w:r w:rsidRPr="00CA5CA9">
      <w:t>/</w:t>
    </w:r>
    <w:r w:rsidR="007D5726">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91C51" w14:textId="6080A35B" w:rsidR="00853842" w:rsidRPr="00CA5CA9" w:rsidRDefault="00853842" w:rsidP="00F7137B">
    <w:pPr>
      <w:pStyle w:val="Header"/>
      <w:jc w:val="right"/>
      <w:rPr>
        <w:szCs w:val="18"/>
      </w:rPr>
    </w:pPr>
    <w:r w:rsidRPr="00CA5CA9">
      <w:rPr>
        <w:bCs/>
        <w:szCs w:val="18"/>
      </w:rPr>
      <w:t>UNEP</w:t>
    </w:r>
    <w:r w:rsidRPr="00CA5CA9">
      <w:rPr>
        <w:szCs w:val="18"/>
      </w:rPr>
      <w:t>/</w:t>
    </w:r>
    <w:r>
      <w:rPr>
        <w:szCs w:val="18"/>
      </w:rPr>
      <w:t>MC</w:t>
    </w:r>
    <w:r w:rsidRPr="00CA5CA9">
      <w:rPr>
        <w:szCs w:val="18"/>
      </w:rPr>
      <w:t>/</w:t>
    </w:r>
    <w:r>
      <w:rPr>
        <w:szCs w:val="18"/>
      </w:rPr>
      <w:t>COP.</w:t>
    </w:r>
    <w:r w:rsidR="003D22DE">
      <w:rPr>
        <w:szCs w:val="18"/>
      </w:rPr>
      <w:t>2</w:t>
    </w:r>
    <w:r w:rsidRPr="00CA5CA9">
      <w:rPr>
        <w:szCs w:val="18"/>
      </w:rPr>
      <w:t>/</w:t>
    </w:r>
    <w:r w:rsidR="007D5726">
      <w:rPr>
        <w:szCs w:val="18"/>
      </w:rPr>
      <w:t>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28784" w14:textId="70C0CA95" w:rsidR="00853842" w:rsidRDefault="00853842"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1585F"/>
    <w:multiLevelType w:val="hybridMultilevel"/>
    <w:tmpl w:val="1FF0901A"/>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64834BD"/>
    <w:multiLevelType w:val="hybridMultilevel"/>
    <w:tmpl w:val="E9D2B9D4"/>
    <w:styleLink w:val="Importeradestilen14"/>
    <w:lvl w:ilvl="0" w:tplc="8F369E90">
      <w:start w:val="1"/>
      <w:numFmt w:val="lowerLetter"/>
      <w:lvlText w:val="%1)"/>
      <w:lvlJc w:val="left"/>
      <w:pPr>
        <w:ind w:left="2174" w:hanging="360"/>
      </w:pPr>
      <w:rPr>
        <w:rFonts w:hAnsi="Arial Unicode MS" w:cs="Times New Roman"/>
        <w:caps w:val="0"/>
        <w:smallCaps w:val="0"/>
        <w:strike w:val="0"/>
        <w:dstrike w:val="0"/>
        <w:color w:val="000000"/>
        <w:spacing w:val="0"/>
        <w:w w:val="100"/>
        <w:kern w:val="0"/>
        <w:position w:val="0"/>
        <w:vertAlign w:val="baseline"/>
      </w:rPr>
    </w:lvl>
    <w:lvl w:ilvl="1" w:tplc="8B746692">
      <w:start w:val="1"/>
      <w:numFmt w:val="lowerLetter"/>
      <w:lvlText w:val="%2."/>
      <w:lvlJc w:val="left"/>
      <w:pPr>
        <w:ind w:left="2894" w:hanging="360"/>
      </w:pPr>
      <w:rPr>
        <w:rFonts w:hAnsi="Arial Unicode MS" w:cs="Times New Roman"/>
        <w:caps w:val="0"/>
        <w:smallCaps w:val="0"/>
        <w:strike w:val="0"/>
        <w:dstrike w:val="0"/>
        <w:color w:val="000000"/>
        <w:spacing w:val="0"/>
        <w:w w:val="100"/>
        <w:kern w:val="0"/>
        <w:position w:val="0"/>
        <w:vertAlign w:val="baseline"/>
      </w:rPr>
    </w:lvl>
    <w:lvl w:ilvl="2" w:tplc="7610BFCC">
      <w:start w:val="1"/>
      <w:numFmt w:val="lowerRoman"/>
      <w:lvlText w:val="%3."/>
      <w:lvlJc w:val="left"/>
      <w:pPr>
        <w:ind w:left="3515" w:hanging="168"/>
      </w:pPr>
      <w:rPr>
        <w:rFonts w:hAnsi="Arial Unicode MS" w:cs="Times New Roman"/>
        <w:caps w:val="0"/>
        <w:smallCaps w:val="0"/>
        <w:strike w:val="0"/>
        <w:dstrike w:val="0"/>
        <w:color w:val="000000"/>
        <w:spacing w:val="0"/>
        <w:w w:val="100"/>
        <w:kern w:val="0"/>
        <w:position w:val="0"/>
        <w:vertAlign w:val="baseline"/>
      </w:rPr>
    </w:lvl>
    <w:lvl w:ilvl="3" w:tplc="85D4A5F6">
      <w:start w:val="1"/>
      <w:numFmt w:val="decimal"/>
      <w:lvlText w:val="%4."/>
      <w:lvlJc w:val="left"/>
      <w:pPr>
        <w:ind w:left="4334" w:hanging="360"/>
      </w:pPr>
      <w:rPr>
        <w:rFonts w:hAnsi="Arial Unicode MS" w:cs="Times New Roman"/>
        <w:caps w:val="0"/>
        <w:smallCaps w:val="0"/>
        <w:strike w:val="0"/>
        <w:dstrike w:val="0"/>
        <w:color w:val="000000"/>
        <w:spacing w:val="0"/>
        <w:w w:val="100"/>
        <w:kern w:val="0"/>
        <w:position w:val="0"/>
        <w:vertAlign w:val="baseline"/>
      </w:rPr>
    </w:lvl>
    <w:lvl w:ilvl="4" w:tplc="793A48BC">
      <w:start w:val="1"/>
      <w:numFmt w:val="lowerLetter"/>
      <w:lvlText w:val="%5."/>
      <w:lvlJc w:val="left"/>
      <w:pPr>
        <w:ind w:left="5054" w:hanging="360"/>
      </w:pPr>
      <w:rPr>
        <w:rFonts w:hAnsi="Arial Unicode MS" w:cs="Times New Roman"/>
        <w:caps w:val="0"/>
        <w:smallCaps w:val="0"/>
        <w:strike w:val="0"/>
        <w:dstrike w:val="0"/>
        <w:color w:val="000000"/>
        <w:spacing w:val="0"/>
        <w:w w:val="100"/>
        <w:kern w:val="0"/>
        <w:position w:val="0"/>
        <w:vertAlign w:val="baseline"/>
      </w:rPr>
    </w:lvl>
    <w:lvl w:ilvl="5" w:tplc="BDD895C2">
      <w:start w:val="1"/>
      <w:numFmt w:val="lowerRoman"/>
      <w:lvlText w:val="%6."/>
      <w:lvlJc w:val="left"/>
      <w:pPr>
        <w:ind w:left="5774" w:hanging="267"/>
      </w:pPr>
      <w:rPr>
        <w:rFonts w:hAnsi="Arial Unicode MS" w:cs="Times New Roman"/>
        <w:caps w:val="0"/>
        <w:smallCaps w:val="0"/>
        <w:strike w:val="0"/>
        <w:dstrike w:val="0"/>
        <w:color w:val="000000"/>
        <w:spacing w:val="0"/>
        <w:w w:val="100"/>
        <w:kern w:val="0"/>
        <w:position w:val="0"/>
        <w:vertAlign w:val="baseline"/>
      </w:rPr>
    </w:lvl>
    <w:lvl w:ilvl="6" w:tplc="C59EDE88">
      <w:start w:val="1"/>
      <w:numFmt w:val="decimal"/>
      <w:lvlText w:val="%7."/>
      <w:lvlJc w:val="left"/>
      <w:pPr>
        <w:ind w:left="6494" w:hanging="360"/>
      </w:pPr>
      <w:rPr>
        <w:rFonts w:hAnsi="Arial Unicode MS" w:cs="Times New Roman"/>
        <w:caps w:val="0"/>
        <w:smallCaps w:val="0"/>
        <w:strike w:val="0"/>
        <w:dstrike w:val="0"/>
        <w:color w:val="000000"/>
        <w:spacing w:val="0"/>
        <w:w w:val="100"/>
        <w:kern w:val="0"/>
        <w:position w:val="0"/>
        <w:vertAlign w:val="baseline"/>
      </w:rPr>
    </w:lvl>
    <w:lvl w:ilvl="7" w:tplc="9F749A9C">
      <w:start w:val="1"/>
      <w:numFmt w:val="lowerLetter"/>
      <w:lvlText w:val="%8."/>
      <w:lvlJc w:val="left"/>
      <w:pPr>
        <w:ind w:left="7214" w:hanging="360"/>
      </w:pPr>
      <w:rPr>
        <w:rFonts w:hAnsi="Arial Unicode MS" w:cs="Times New Roman"/>
        <w:caps w:val="0"/>
        <w:smallCaps w:val="0"/>
        <w:strike w:val="0"/>
        <w:dstrike w:val="0"/>
        <w:color w:val="000000"/>
        <w:spacing w:val="0"/>
        <w:w w:val="100"/>
        <w:kern w:val="0"/>
        <w:position w:val="0"/>
        <w:vertAlign w:val="baseline"/>
      </w:rPr>
    </w:lvl>
    <w:lvl w:ilvl="8" w:tplc="DFCAE69C">
      <w:start w:val="1"/>
      <w:numFmt w:val="lowerRoman"/>
      <w:lvlText w:val="%9."/>
      <w:lvlJc w:val="left"/>
      <w:pPr>
        <w:ind w:left="7934" w:hanging="267"/>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15:restartNumberingAfterBreak="0">
    <w:nsid w:val="242E42B0"/>
    <w:multiLevelType w:val="hybridMultilevel"/>
    <w:tmpl w:val="383A7678"/>
    <w:styleLink w:val="Importeradestilen15"/>
    <w:lvl w:ilvl="0" w:tplc="43767D70">
      <w:start w:val="1"/>
      <w:numFmt w:val="lowerLetter"/>
      <w:lvlText w:val="%1)"/>
      <w:lvlJc w:val="left"/>
      <w:pPr>
        <w:tabs>
          <w:tab w:val="left" w:pos="1247"/>
          <w:tab w:val="left" w:pos="1814"/>
          <w:tab w:val="num" w:pos="1985"/>
          <w:tab w:val="left" w:pos="2948"/>
          <w:tab w:val="left" w:pos="3515"/>
          <w:tab w:val="left" w:pos="4082"/>
        </w:tabs>
        <w:ind w:left="2174" w:hanging="360"/>
      </w:pPr>
      <w:rPr>
        <w:rFonts w:hAnsi="Arial Unicode MS" w:cs="Times New Roman"/>
        <w:caps w:val="0"/>
        <w:smallCaps w:val="0"/>
        <w:strike w:val="0"/>
        <w:dstrike w:val="0"/>
        <w:color w:val="000000"/>
        <w:spacing w:val="0"/>
        <w:w w:val="100"/>
        <w:kern w:val="0"/>
        <w:position w:val="0"/>
        <w:vertAlign w:val="baseline"/>
      </w:rPr>
    </w:lvl>
    <w:lvl w:ilvl="1" w:tplc="CD0E27A0">
      <w:start w:val="1"/>
      <w:numFmt w:val="lowerLetter"/>
      <w:lvlText w:val="%2."/>
      <w:lvlJc w:val="left"/>
      <w:pPr>
        <w:tabs>
          <w:tab w:val="left" w:pos="1247"/>
          <w:tab w:val="left" w:pos="1814"/>
          <w:tab w:val="left" w:pos="1985"/>
          <w:tab w:val="num" w:pos="2894"/>
          <w:tab w:val="left" w:pos="2948"/>
          <w:tab w:val="left" w:pos="3515"/>
          <w:tab w:val="left" w:pos="4082"/>
        </w:tabs>
        <w:ind w:left="3083" w:hanging="549"/>
      </w:pPr>
      <w:rPr>
        <w:rFonts w:hAnsi="Arial Unicode MS" w:cs="Times New Roman"/>
        <w:caps w:val="0"/>
        <w:smallCaps w:val="0"/>
        <w:strike w:val="0"/>
        <w:dstrike w:val="0"/>
        <w:color w:val="000000"/>
        <w:spacing w:val="0"/>
        <w:w w:val="100"/>
        <w:kern w:val="0"/>
        <w:position w:val="0"/>
        <w:vertAlign w:val="baseline"/>
      </w:rPr>
    </w:lvl>
    <w:lvl w:ilvl="2" w:tplc="80CA228A">
      <w:start w:val="1"/>
      <w:numFmt w:val="lowerRoman"/>
      <w:lvlText w:val="%3."/>
      <w:lvlJc w:val="left"/>
      <w:pPr>
        <w:tabs>
          <w:tab w:val="left" w:pos="1247"/>
          <w:tab w:val="left" w:pos="1814"/>
          <w:tab w:val="left" w:pos="1985"/>
          <w:tab w:val="left" w:pos="2948"/>
          <w:tab w:val="num" w:pos="3515"/>
          <w:tab w:val="left" w:pos="4082"/>
        </w:tabs>
        <w:ind w:left="3704" w:hanging="357"/>
      </w:pPr>
      <w:rPr>
        <w:rFonts w:hAnsi="Arial Unicode MS" w:cs="Times New Roman"/>
        <w:caps w:val="0"/>
        <w:smallCaps w:val="0"/>
        <w:strike w:val="0"/>
        <w:dstrike w:val="0"/>
        <w:color w:val="000000"/>
        <w:spacing w:val="0"/>
        <w:w w:val="100"/>
        <w:kern w:val="0"/>
        <w:position w:val="0"/>
        <w:vertAlign w:val="baseline"/>
      </w:rPr>
    </w:lvl>
    <w:lvl w:ilvl="3" w:tplc="533CB256">
      <w:start w:val="1"/>
      <w:numFmt w:val="decimal"/>
      <w:lvlText w:val="%4."/>
      <w:lvlJc w:val="left"/>
      <w:pPr>
        <w:tabs>
          <w:tab w:val="left" w:pos="1247"/>
          <w:tab w:val="left" w:pos="1814"/>
          <w:tab w:val="left" w:pos="1985"/>
          <w:tab w:val="left" w:pos="2948"/>
          <w:tab w:val="left" w:pos="3515"/>
          <w:tab w:val="num" w:pos="4082"/>
        </w:tabs>
        <w:ind w:left="4271" w:hanging="297"/>
      </w:pPr>
      <w:rPr>
        <w:rFonts w:hAnsi="Arial Unicode MS" w:cs="Times New Roman"/>
        <w:caps w:val="0"/>
        <w:smallCaps w:val="0"/>
        <w:strike w:val="0"/>
        <w:dstrike w:val="0"/>
        <w:color w:val="000000"/>
        <w:spacing w:val="0"/>
        <w:w w:val="100"/>
        <w:kern w:val="0"/>
        <w:position w:val="0"/>
        <w:vertAlign w:val="baseline"/>
      </w:rPr>
    </w:lvl>
    <w:lvl w:ilvl="4" w:tplc="138C3BF2">
      <w:start w:val="1"/>
      <w:numFmt w:val="lowerLetter"/>
      <w:lvlText w:val="%5."/>
      <w:lvlJc w:val="left"/>
      <w:pPr>
        <w:tabs>
          <w:tab w:val="left" w:pos="1247"/>
          <w:tab w:val="left" w:pos="1814"/>
          <w:tab w:val="left" w:pos="1985"/>
          <w:tab w:val="left" w:pos="2948"/>
          <w:tab w:val="left" w:pos="3515"/>
          <w:tab w:val="left" w:pos="4082"/>
          <w:tab w:val="num" w:pos="5054"/>
        </w:tabs>
        <w:ind w:left="5243" w:hanging="549"/>
      </w:pPr>
      <w:rPr>
        <w:rFonts w:hAnsi="Arial Unicode MS" w:cs="Times New Roman"/>
        <w:caps w:val="0"/>
        <w:smallCaps w:val="0"/>
        <w:strike w:val="0"/>
        <w:dstrike w:val="0"/>
        <w:color w:val="000000"/>
        <w:spacing w:val="0"/>
        <w:w w:val="100"/>
        <w:kern w:val="0"/>
        <w:position w:val="0"/>
        <w:vertAlign w:val="baseline"/>
      </w:rPr>
    </w:lvl>
    <w:lvl w:ilvl="5" w:tplc="04AA61B8">
      <w:start w:val="1"/>
      <w:numFmt w:val="lowerRoman"/>
      <w:lvlText w:val="%6."/>
      <w:lvlJc w:val="left"/>
      <w:pPr>
        <w:tabs>
          <w:tab w:val="left" w:pos="1247"/>
          <w:tab w:val="left" w:pos="1814"/>
          <w:tab w:val="left" w:pos="1985"/>
          <w:tab w:val="left" w:pos="2948"/>
          <w:tab w:val="left" w:pos="3515"/>
          <w:tab w:val="left" w:pos="4082"/>
          <w:tab w:val="num" w:pos="5774"/>
        </w:tabs>
        <w:ind w:left="5963" w:hanging="456"/>
      </w:pPr>
      <w:rPr>
        <w:rFonts w:hAnsi="Arial Unicode MS" w:cs="Times New Roman"/>
        <w:caps w:val="0"/>
        <w:smallCaps w:val="0"/>
        <w:strike w:val="0"/>
        <w:dstrike w:val="0"/>
        <w:color w:val="000000"/>
        <w:spacing w:val="0"/>
        <w:w w:val="100"/>
        <w:kern w:val="0"/>
        <w:position w:val="0"/>
        <w:vertAlign w:val="baseline"/>
      </w:rPr>
    </w:lvl>
    <w:lvl w:ilvl="6" w:tplc="6996F760">
      <w:start w:val="1"/>
      <w:numFmt w:val="decimal"/>
      <w:lvlText w:val="%7."/>
      <w:lvlJc w:val="left"/>
      <w:pPr>
        <w:tabs>
          <w:tab w:val="left" w:pos="1247"/>
          <w:tab w:val="left" w:pos="1814"/>
          <w:tab w:val="left" w:pos="1985"/>
          <w:tab w:val="left" w:pos="2948"/>
          <w:tab w:val="left" w:pos="3515"/>
          <w:tab w:val="left" w:pos="4082"/>
          <w:tab w:val="num" w:pos="6494"/>
        </w:tabs>
        <w:ind w:left="6683" w:hanging="549"/>
      </w:pPr>
      <w:rPr>
        <w:rFonts w:hAnsi="Arial Unicode MS" w:cs="Times New Roman"/>
        <w:caps w:val="0"/>
        <w:smallCaps w:val="0"/>
        <w:strike w:val="0"/>
        <w:dstrike w:val="0"/>
        <w:color w:val="000000"/>
        <w:spacing w:val="0"/>
        <w:w w:val="100"/>
        <w:kern w:val="0"/>
        <w:position w:val="0"/>
        <w:vertAlign w:val="baseline"/>
      </w:rPr>
    </w:lvl>
    <w:lvl w:ilvl="7" w:tplc="D8304408">
      <w:start w:val="1"/>
      <w:numFmt w:val="lowerLetter"/>
      <w:lvlText w:val="%8."/>
      <w:lvlJc w:val="left"/>
      <w:pPr>
        <w:tabs>
          <w:tab w:val="left" w:pos="1247"/>
          <w:tab w:val="left" w:pos="1814"/>
          <w:tab w:val="left" w:pos="1985"/>
          <w:tab w:val="left" w:pos="2948"/>
          <w:tab w:val="left" w:pos="3515"/>
          <w:tab w:val="left" w:pos="4082"/>
          <w:tab w:val="num" w:pos="7214"/>
        </w:tabs>
        <w:ind w:left="7403" w:hanging="549"/>
      </w:pPr>
      <w:rPr>
        <w:rFonts w:hAnsi="Arial Unicode MS" w:cs="Times New Roman"/>
        <w:caps w:val="0"/>
        <w:smallCaps w:val="0"/>
        <w:strike w:val="0"/>
        <w:dstrike w:val="0"/>
        <w:color w:val="000000"/>
        <w:spacing w:val="0"/>
        <w:w w:val="100"/>
        <w:kern w:val="0"/>
        <w:position w:val="0"/>
        <w:vertAlign w:val="baseline"/>
      </w:rPr>
    </w:lvl>
    <w:lvl w:ilvl="8" w:tplc="369C860C">
      <w:start w:val="1"/>
      <w:numFmt w:val="lowerRoman"/>
      <w:lvlText w:val="%9."/>
      <w:lvlJc w:val="left"/>
      <w:pPr>
        <w:tabs>
          <w:tab w:val="left" w:pos="1247"/>
          <w:tab w:val="left" w:pos="1814"/>
          <w:tab w:val="left" w:pos="1985"/>
          <w:tab w:val="left" w:pos="2948"/>
          <w:tab w:val="left" w:pos="3515"/>
          <w:tab w:val="left" w:pos="4082"/>
          <w:tab w:val="num" w:pos="7934"/>
        </w:tabs>
        <w:ind w:left="8123" w:hanging="456"/>
      </w:pPr>
      <w:rPr>
        <w:rFonts w:hAnsi="Arial Unicode MS" w:cs="Times New Roman"/>
        <w:caps w:val="0"/>
        <w:smallCaps w:val="0"/>
        <w:strike w:val="0"/>
        <w:dstrike w:val="0"/>
        <w:color w:val="000000"/>
        <w:spacing w:val="0"/>
        <w:w w:val="100"/>
        <w:kern w:val="0"/>
        <w:position w:val="0"/>
        <w:vertAlign w:val="baseline"/>
      </w:rPr>
    </w:lvl>
  </w:abstractNum>
  <w:abstractNum w:abstractNumId="4" w15:restartNumberingAfterBreak="0">
    <w:nsid w:val="2A3E42FD"/>
    <w:multiLevelType w:val="hybridMultilevel"/>
    <w:tmpl w:val="2F66C8FA"/>
    <w:styleLink w:val="Importeradestilen12"/>
    <w:lvl w:ilvl="0" w:tplc="CA001836">
      <w:start w:val="1"/>
      <w:numFmt w:val="decimal"/>
      <w:lvlText w:val="%1."/>
      <w:lvlJc w:val="left"/>
      <w:pPr>
        <w:tabs>
          <w:tab w:val="num" w:pos="1607"/>
          <w:tab w:val="left" w:pos="1701"/>
          <w:tab w:val="left" w:pos="2381"/>
          <w:tab w:val="left" w:pos="2948"/>
          <w:tab w:val="left" w:pos="3515"/>
          <w:tab w:val="left" w:pos="7988"/>
        </w:tabs>
        <w:ind w:left="1153" w:hanging="18"/>
      </w:pPr>
      <w:rPr>
        <w:rFonts w:hAnsi="Arial Unicode MS" w:cs="Times New Roman"/>
        <w:caps w:val="0"/>
        <w:smallCaps w:val="0"/>
        <w:strike w:val="0"/>
        <w:dstrike w:val="0"/>
        <w:color w:val="000000"/>
        <w:spacing w:val="0"/>
        <w:w w:val="100"/>
        <w:kern w:val="0"/>
        <w:position w:val="0"/>
        <w:vertAlign w:val="baseline"/>
      </w:rPr>
    </w:lvl>
    <w:lvl w:ilvl="1" w:tplc="32FE94AC">
      <w:start w:val="1"/>
      <w:numFmt w:val="lowerLetter"/>
      <w:lvlText w:val="(%2)"/>
      <w:lvlJc w:val="left"/>
      <w:pPr>
        <w:tabs>
          <w:tab w:val="num" w:pos="1607"/>
          <w:tab w:val="left" w:pos="1701"/>
          <w:tab w:val="left" w:pos="2381"/>
          <w:tab w:val="left" w:pos="2948"/>
          <w:tab w:val="left" w:pos="3515"/>
          <w:tab w:val="left" w:pos="7988"/>
        </w:tabs>
        <w:ind w:left="1152" w:hanging="18"/>
      </w:pPr>
      <w:rPr>
        <w:rFonts w:hAnsi="Arial Unicode MS" w:cs="Times New Roman"/>
        <w:caps w:val="0"/>
        <w:smallCaps w:val="0"/>
        <w:strike w:val="0"/>
        <w:dstrike w:val="0"/>
        <w:color w:val="000000"/>
        <w:spacing w:val="0"/>
        <w:w w:val="100"/>
        <w:kern w:val="0"/>
        <w:position w:val="0"/>
        <w:vertAlign w:val="baseline"/>
      </w:rPr>
    </w:lvl>
    <w:lvl w:ilvl="2" w:tplc="0F7C5A0C">
      <w:start w:val="1"/>
      <w:numFmt w:val="lowerRoman"/>
      <w:lvlText w:val="(%3)"/>
      <w:lvlJc w:val="left"/>
      <w:pPr>
        <w:tabs>
          <w:tab w:val="left" w:pos="1247"/>
          <w:tab w:val="left" w:pos="1701"/>
          <w:tab w:val="left" w:pos="2381"/>
          <w:tab w:val="num" w:pos="3308"/>
          <w:tab w:val="left" w:pos="3515"/>
          <w:tab w:val="left" w:pos="7988"/>
        </w:tabs>
        <w:ind w:left="2853" w:hanging="18"/>
      </w:pPr>
      <w:rPr>
        <w:rFonts w:hAnsi="Arial Unicode MS" w:cs="Times New Roman"/>
        <w:caps w:val="0"/>
        <w:smallCaps w:val="0"/>
        <w:strike w:val="0"/>
        <w:dstrike w:val="0"/>
        <w:color w:val="000000"/>
        <w:spacing w:val="0"/>
        <w:w w:val="100"/>
        <w:kern w:val="0"/>
        <w:position w:val="0"/>
        <w:vertAlign w:val="baseline"/>
      </w:rPr>
    </w:lvl>
    <w:lvl w:ilvl="3" w:tplc="16EEE7A4">
      <w:start w:val="1"/>
      <w:numFmt w:val="lowerLetter"/>
      <w:lvlText w:val="%4."/>
      <w:lvlJc w:val="left"/>
      <w:pPr>
        <w:tabs>
          <w:tab w:val="left" w:pos="1247"/>
          <w:tab w:val="left" w:pos="1701"/>
          <w:tab w:val="left" w:pos="2381"/>
          <w:tab w:val="left" w:pos="2948"/>
          <w:tab w:val="num" w:pos="3875"/>
          <w:tab w:val="left" w:pos="7988"/>
        </w:tabs>
        <w:ind w:left="3421" w:hanging="18"/>
      </w:pPr>
      <w:rPr>
        <w:rFonts w:hAnsi="Arial Unicode MS" w:cs="Times New Roman"/>
        <w:caps w:val="0"/>
        <w:smallCaps w:val="0"/>
        <w:strike w:val="0"/>
        <w:dstrike w:val="0"/>
        <w:color w:val="000000"/>
        <w:spacing w:val="0"/>
        <w:w w:val="100"/>
        <w:kern w:val="0"/>
        <w:position w:val="0"/>
        <w:vertAlign w:val="baseline"/>
      </w:rPr>
    </w:lvl>
    <w:lvl w:ilvl="4" w:tplc="41BAF298">
      <w:start w:val="1"/>
      <w:numFmt w:val="lowerLetter"/>
      <w:lvlText w:val="%5."/>
      <w:lvlJc w:val="left"/>
      <w:pPr>
        <w:tabs>
          <w:tab w:val="left" w:pos="1247"/>
          <w:tab w:val="left" w:pos="1701"/>
          <w:tab w:val="left" w:pos="2381"/>
          <w:tab w:val="left" w:pos="2948"/>
          <w:tab w:val="left" w:pos="3515"/>
          <w:tab w:val="num" w:pos="6942"/>
          <w:tab w:val="left" w:pos="7988"/>
        </w:tabs>
        <w:ind w:left="6488" w:firstLine="154"/>
      </w:pPr>
      <w:rPr>
        <w:rFonts w:hAnsi="Arial Unicode MS" w:cs="Times New Roman"/>
        <w:caps w:val="0"/>
        <w:smallCaps w:val="0"/>
        <w:strike w:val="0"/>
        <w:dstrike w:val="0"/>
        <w:color w:val="000000"/>
        <w:spacing w:val="0"/>
        <w:w w:val="100"/>
        <w:kern w:val="0"/>
        <w:position w:val="0"/>
        <w:vertAlign w:val="baseline"/>
      </w:rPr>
    </w:lvl>
    <w:lvl w:ilvl="5" w:tplc="683A1838">
      <w:start w:val="1"/>
      <w:numFmt w:val="lowerRoman"/>
      <w:lvlText w:val="%6."/>
      <w:lvlJc w:val="left"/>
      <w:pPr>
        <w:tabs>
          <w:tab w:val="left" w:pos="1247"/>
          <w:tab w:val="left" w:pos="1701"/>
          <w:tab w:val="left" w:pos="2381"/>
          <w:tab w:val="left" w:pos="2948"/>
          <w:tab w:val="left" w:pos="3515"/>
          <w:tab w:val="num" w:pos="7675"/>
          <w:tab w:val="left" w:pos="7988"/>
        </w:tabs>
        <w:ind w:left="7221" w:firstLine="217"/>
      </w:pPr>
      <w:rPr>
        <w:rFonts w:hAnsi="Arial Unicode MS" w:cs="Times New Roman"/>
        <w:caps w:val="0"/>
        <w:smallCaps w:val="0"/>
        <w:strike w:val="0"/>
        <w:dstrike w:val="0"/>
        <w:color w:val="000000"/>
        <w:spacing w:val="0"/>
        <w:w w:val="100"/>
        <w:kern w:val="0"/>
        <w:position w:val="0"/>
        <w:vertAlign w:val="baseline"/>
      </w:rPr>
    </w:lvl>
    <w:lvl w:ilvl="6" w:tplc="884C5B58">
      <w:start w:val="1"/>
      <w:numFmt w:val="decimal"/>
      <w:lvlText w:val="%7."/>
      <w:lvlJc w:val="left"/>
      <w:pPr>
        <w:tabs>
          <w:tab w:val="left" w:pos="1247"/>
          <w:tab w:val="num" w:pos="1701"/>
          <w:tab w:val="left" w:pos="2381"/>
          <w:tab w:val="left" w:pos="2948"/>
          <w:tab w:val="left" w:pos="3515"/>
          <w:tab w:val="left" w:pos="7988"/>
        </w:tabs>
        <w:ind w:left="1247"/>
      </w:pPr>
      <w:rPr>
        <w:rFonts w:hAnsi="Arial Unicode MS" w:cs="Times New Roman"/>
        <w:caps w:val="0"/>
        <w:smallCaps w:val="0"/>
        <w:strike w:val="0"/>
        <w:dstrike w:val="0"/>
        <w:color w:val="000000"/>
        <w:spacing w:val="0"/>
        <w:w w:val="100"/>
        <w:kern w:val="0"/>
        <w:position w:val="0"/>
        <w:vertAlign w:val="baseline"/>
      </w:rPr>
    </w:lvl>
    <w:lvl w:ilvl="7" w:tplc="96801D68">
      <w:start w:val="1"/>
      <w:numFmt w:val="lowerLetter"/>
      <w:lvlText w:val="%8."/>
      <w:lvlJc w:val="left"/>
      <w:pPr>
        <w:tabs>
          <w:tab w:val="left" w:pos="1247"/>
          <w:tab w:val="left" w:pos="1701"/>
          <w:tab w:val="num" w:pos="2421"/>
          <w:tab w:val="left" w:pos="2948"/>
          <w:tab w:val="left" w:pos="3515"/>
          <w:tab w:val="left" w:pos="7988"/>
        </w:tabs>
        <w:ind w:left="1967" w:firstLine="40"/>
      </w:pPr>
      <w:rPr>
        <w:rFonts w:hAnsi="Arial Unicode MS" w:cs="Times New Roman"/>
        <w:caps w:val="0"/>
        <w:smallCaps w:val="0"/>
        <w:strike w:val="0"/>
        <w:dstrike w:val="0"/>
        <w:color w:val="000000"/>
        <w:spacing w:val="0"/>
        <w:w w:val="100"/>
        <w:kern w:val="0"/>
        <w:position w:val="0"/>
        <w:vertAlign w:val="baseline"/>
      </w:rPr>
    </w:lvl>
    <w:lvl w:ilvl="8" w:tplc="854AE768">
      <w:start w:val="1"/>
      <w:numFmt w:val="lowerRoman"/>
      <w:lvlText w:val="%9."/>
      <w:lvlJc w:val="left"/>
      <w:pPr>
        <w:tabs>
          <w:tab w:val="left" w:pos="1247"/>
          <w:tab w:val="left" w:pos="1701"/>
          <w:tab w:val="left" w:pos="2381"/>
          <w:tab w:val="left" w:pos="2948"/>
          <w:tab w:val="num" w:pos="3141"/>
          <w:tab w:val="left" w:pos="3515"/>
          <w:tab w:val="left" w:pos="7988"/>
        </w:tabs>
        <w:ind w:left="2687" w:firstLine="286"/>
      </w:pPr>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6"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7"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outline w:val="0"/>
        <w:emboss w:val="0"/>
        <w:imprint w:val="0"/>
        <w:spacing w:val="0"/>
        <w:w w:val="100"/>
        <w:kern w:val="0"/>
        <w:position w:val="0"/>
        <w:highlight w:val="none"/>
        <w:vertAlign w:val="base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outline w:val="0"/>
        <w:emboss w:val="0"/>
        <w:imprint w:val="0"/>
        <w:spacing w:val="0"/>
        <w:w w:val="100"/>
        <w:kern w:val="0"/>
        <w:position w:val="0"/>
        <w:highlight w:val="none"/>
        <w:vertAlign w:val="base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outline w:val="0"/>
        <w:emboss w:val="0"/>
        <w:imprint w:val="0"/>
        <w:spacing w:val="0"/>
        <w:w w:val="100"/>
        <w:kern w:val="0"/>
        <w:position w:val="0"/>
        <w:highlight w:val="none"/>
        <w:vertAlign w:val="base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outline w:val="0"/>
        <w:emboss w:val="0"/>
        <w:imprint w:val="0"/>
        <w:spacing w:val="0"/>
        <w:w w:val="100"/>
        <w:kern w:val="0"/>
        <w:position w:val="0"/>
        <w:highlight w:val="none"/>
        <w:vertAlign w:val="base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outline w:val="0"/>
        <w:emboss w:val="0"/>
        <w:imprint w:val="0"/>
        <w:spacing w:val="0"/>
        <w:w w:val="100"/>
        <w:kern w:val="0"/>
        <w:position w:val="0"/>
        <w:highlight w:val="none"/>
        <w:vertAlign w:val="base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outline w:val="0"/>
        <w:emboss w:val="0"/>
        <w:imprint w:val="0"/>
        <w:spacing w:val="0"/>
        <w:w w:val="100"/>
        <w:kern w:val="0"/>
        <w:position w:val="0"/>
        <w:highlight w:val="none"/>
        <w:vertAlign w:val="base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outline w:val="0"/>
        <w:emboss w:val="0"/>
        <w:imprint w:val="0"/>
        <w:spacing w:val="0"/>
        <w:w w:val="100"/>
        <w:kern w:val="0"/>
        <w:position w:val="0"/>
        <w:highlight w:val="none"/>
        <w:vertAlign w:val="base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2A66A9D"/>
    <w:multiLevelType w:val="multilevel"/>
    <w:tmpl w:val="F4ACF36E"/>
    <w:styleLink w:val="Normallist"/>
    <w:lvl w:ilvl="0">
      <w:start w:val="1"/>
      <w:numFmt w:val="decimal"/>
      <w:pStyle w:val="Normalnumber"/>
      <w:lvlText w:val="%1."/>
      <w:lvlJc w:val="left"/>
      <w:pPr>
        <w:tabs>
          <w:tab w:val="num" w:pos="2830"/>
        </w:tabs>
        <w:ind w:left="3510"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0" w15:restartNumberingAfterBreak="0">
    <w:nsid w:val="62291BF8"/>
    <w:multiLevelType w:val="multilevel"/>
    <w:tmpl w:val="F4ACF36E"/>
    <w:numStyleLink w:val="Normallist"/>
  </w:abstractNum>
  <w:abstractNum w:abstractNumId="11" w15:restartNumberingAfterBreak="0">
    <w:nsid w:val="658E3431"/>
    <w:multiLevelType w:val="hybridMultilevel"/>
    <w:tmpl w:val="F4ACF36E"/>
    <w:styleLink w:val="Normallist2"/>
    <w:lvl w:ilvl="0" w:tplc="FBCEB55C">
      <w:start w:val="1"/>
      <w:numFmt w:val="decimal"/>
      <w:lvlText w:val="%1."/>
      <w:lvlJc w:val="left"/>
      <w:pPr>
        <w:tabs>
          <w:tab w:val="num" w:pos="2830"/>
        </w:tabs>
        <w:ind w:left="3510" w:firstLine="0"/>
      </w:pPr>
      <w:rPr>
        <w:rFonts w:hint="default"/>
      </w:rPr>
    </w:lvl>
    <w:lvl w:ilvl="1" w:tplc="FDA8D172">
      <w:start w:val="1"/>
      <w:numFmt w:val="lowerLetter"/>
      <w:lvlText w:val="%2)"/>
      <w:lvlJc w:val="left"/>
      <w:pPr>
        <w:tabs>
          <w:tab w:val="num" w:pos="567"/>
        </w:tabs>
        <w:ind w:left="1247" w:firstLine="567"/>
      </w:pPr>
      <w:rPr>
        <w:rFonts w:hint="default"/>
      </w:rPr>
    </w:lvl>
    <w:lvl w:ilvl="2" w:tplc="BAF838C0">
      <w:start w:val="1"/>
      <w:numFmt w:val="lowerRoman"/>
      <w:lvlText w:val="%3)"/>
      <w:lvlJc w:val="left"/>
      <w:pPr>
        <w:tabs>
          <w:tab w:val="num" w:pos="567"/>
        </w:tabs>
        <w:ind w:left="2948" w:hanging="567"/>
      </w:pPr>
      <w:rPr>
        <w:rFonts w:hint="default"/>
      </w:rPr>
    </w:lvl>
    <w:lvl w:ilvl="3" w:tplc="95820F7C">
      <w:start w:val="1"/>
      <w:numFmt w:val="lowerLetter"/>
      <w:lvlText w:val="%4."/>
      <w:lvlJc w:val="left"/>
      <w:pPr>
        <w:tabs>
          <w:tab w:val="num" w:pos="567"/>
        </w:tabs>
        <w:ind w:left="3515" w:hanging="567"/>
      </w:pPr>
      <w:rPr>
        <w:rFonts w:hint="default"/>
      </w:rPr>
    </w:lvl>
    <w:lvl w:ilvl="4" w:tplc="4F364E66">
      <w:start w:val="1"/>
      <w:numFmt w:val="lowerRoman"/>
      <w:lvlText w:val="%5."/>
      <w:lvlJc w:val="left"/>
      <w:pPr>
        <w:tabs>
          <w:tab w:val="num" w:pos="567"/>
        </w:tabs>
        <w:ind w:left="4082" w:hanging="567"/>
      </w:pPr>
      <w:rPr>
        <w:rFonts w:hint="default"/>
      </w:rPr>
    </w:lvl>
    <w:lvl w:ilvl="5" w:tplc="383EFA2C">
      <w:start w:val="1"/>
      <w:numFmt w:val="lowerRoman"/>
      <w:lvlText w:val="%6."/>
      <w:lvlJc w:val="right"/>
      <w:pPr>
        <w:tabs>
          <w:tab w:val="num" w:pos="7835"/>
        </w:tabs>
        <w:ind w:left="7835" w:hanging="180"/>
      </w:pPr>
      <w:rPr>
        <w:rFonts w:hint="default"/>
      </w:rPr>
    </w:lvl>
    <w:lvl w:ilvl="6" w:tplc="2AE85E38">
      <w:start w:val="1"/>
      <w:numFmt w:val="decimal"/>
      <w:lvlText w:val="%7."/>
      <w:lvlJc w:val="left"/>
      <w:pPr>
        <w:tabs>
          <w:tab w:val="num" w:pos="8555"/>
        </w:tabs>
        <w:ind w:left="8555" w:hanging="360"/>
      </w:pPr>
      <w:rPr>
        <w:rFonts w:hint="default"/>
      </w:rPr>
    </w:lvl>
    <w:lvl w:ilvl="7" w:tplc="17FEBCD0">
      <w:start w:val="1"/>
      <w:numFmt w:val="lowerLetter"/>
      <w:lvlText w:val="%8."/>
      <w:lvlJc w:val="left"/>
      <w:pPr>
        <w:tabs>
          <w:tab w:val="num" w:pos="9275"/>
        </w:tabs>
        <w:ind w:left="9275" w:hanging="360"/>
      </w:pPr>
      <w:rPr>
        <w:rFonts w:hint="default"/>
      </w:rPr>
    </w:lvl>
    <w:lvl w:ilvl="8" w:tplc="035C4F40">
      <w:start w:val="1"/>
      <w:numFmt w:val="lowerRoman"/>
      <w:lvlText w:val="%9."/>
      <w:lvlJc w:val="right"/>
      <w:pPr>
        <w:tabs>
          <w:tab w:val="num" w:pos="9995"/>
        </w:tabs>
        <w:ind w:left="9995" w:hanging="180"/>
      </w:pPr>
      <w:rPr>
        <w:rFonts w:hint="default"/>
      </w:rPr>
    </w:lvl>
  </w:abstractNum>
  <w:num w:numId="1">
    <w:abstractNumId w:val="10"/>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
    <w:abstractNumId w:val="2"/>
  </w:num>
  <w:num w:numId="3">
    <w:abstractNumId w:val="6"/>
  </w:num>
  <w:num w:numId="4">
    <w:abstractNumId w:val="9"/>
  </w:num>
  <w:num w:numId="5">
    <w:abstractNumId w:val="11"/>
    <w:lvlOverride w:ilvl="0">
      <w:lvl w:ilvl="0" w:tplc="FBCEB55C">
        <w:start w:val="1"/>
        <w:numFmt w:val="decimal"/>
        <w:lvlText w:val="%1."/>
        <w:lvlJc w:val="left"/>
        <w:pPr>
          <w:tabs>
            <w:tab w:val="num" w:pos="1814"/>
          </w:tabs>
          <w:ind w:left="12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DA8D172">
        <w:start w:val="1"/>
        <w:numFmt w:val="lowerLetter"/>
        <w:lvlText w:val="%2)"/>
        <w:lvlJc w:val="left"/>
        <w:pPr>
          <w:tabs>
            <w:tab w:val="left" w:pos="624"/>
            <w:tab w:val="left" w:pos="1134"/>
            <w:tab w:val="left" w:pos="1247"/>
            <w:tab w:val="left" w:pos="1814"/>
            <w:tab w:val="left" w:pos="1871"/>
            <w:tab w:val="num" w:pos="2381"/>
            <w:tab w:val="left" w:pos="2495"/>
            <w:tab w:val="left" w:pos="2948"/>
            <w:tab w:val="left" w:pos="3119"/>
            <w:tab w:val="left" w:pos="3515"/>
          </w:tabs>
          <w:ind w:left="1247"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AF838C0">
        <w:start w:val="1"/>
        <w:numFmt w:val="lowerRoman"/>
        <w:lvlText w:val="(%3)"/>
        <w:lvlJc w:val="left"/>
        <w:pPr>
          <w:tabs>
            <w:tab w:val="left" w:pos="624"/>
            <w:tab w:val="left" w:pos="1134"/>
            <w:tab w:val="left" w:pos="1247"/>
            <w:tab w:val="left" w:pos="1814"/>
            <w:tab w:val="left" w:pos="1871"/>
            <w:tab w:val="left" w:pos="2381"/>
            <w:tab w:val="left" w:pos="2495"/>
            <w:tab w:val="left" w:pos="2948"/>
            <w:tab w:val="left" w:pos="3119"/>
            <w:tab w:val="left" w:pos="3515"/>
            <w:tab w:val="num" w:pos="4082"/>
          </w:tabs>
          <w:ind w:left="2948"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5820F7C">
        <w:start w:val="1"/>
        <w:numFmt w:val="lowerLetter"/>
        <w:suff w:val="nothing"/>
        <w:lvlText w:val="%4."/>
        <w:lvlJc w:val="left"/>
        <w:pPr>
          <w:tabs>
            <w:tab w:val="left" w:pos="624"/>
            <w:tab w:val="left" w:pos="1134"/>
            <w:tab w:val="left" w:pos="1247"/>
            <w:tab w:val="left" w:pos="1814"/>
            <w:tab w:val="left" w:pos="1871"/>
            <w:tab w:val="left" w:pos="2381"/>
            <w:tab w:val="left" w:pos="2495"/>
            <w:tab w:val="left" w:pos="2948"/>
            <w:tab w:val="left" w:pos="3119"/>
            <w:tab w:val="left" w:pos="3515"/>
          </w:tabs>
          <w:ind w:left="3119" w:firstLine="10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F364E66">
        <w:start w:val="1"/>
        <w:numFmt w:val="lowerRoman"/>
        <w:lvlText w:val="%5."/>
        <w:lvlJc w:val="left"/>
        <w:pPr>
          <w:tabs>
            <w:tab w:val="left" w:pos="624"/>
            <w:tab w:val="left" w:pos="1134"/>
            <w:tab w:val="left" w:pos="1247"/>
            <w:tab w:val="left" w:pos="1814"/>
            <w:tab w:val="left" w:pos="1871"/>
            <w:tab w:val="left" w:pos="2381"/>
            <w:tab w:val="left" w:pos="2495"/>
            <w:tab w:val="left" w:pos="2948"/>
            <w:tab w:val="left" w:pos="3119"/>
            <w:tab w:val="left" w:pos="3515"/>
            <w:tab w:val="num" w:pos="5216"/>
          </w:tabs>
          <w:ind w:left="4082"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83EFA2C">
        <w:start w:val="1"/>
        <w:numFmt w:val="lowerRoman"/>
        <w:lvlText w:val="%6."/>
        <w:lvlJc w:val="left"/>
        <w:pPr>
          <w:tabs>
            <w:tab w:val="left" w:pos="624"/>
            <w:tab w:val="left" w:pos="1134"/>
            <w:tab w:val="left" w:pos="1247"/>
            <w:tab w:val="left" w:pos="1814"/>
            <w:tab w:val="left" w:pos="1871"/>
            <w:tab w:val="left" w:pos="2381"/>
            <w:tab w:val="left" w:pos="2495"/>
            <w:tab w:val="left" w:pos="2948"/>
            <w:tab w:val="left" w:pos="3119"/>
            <w:tab w:val="left" w:pos="3515"/>
            <w:tab w:val="num" w:pos="8969"/>
          </w:tabs>
          <w:ind w:left="7835" w:firstLine="9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AE85E38">
        <w:start w:val="1"/>
        <w:numFmt w:val="decimal"/>
        <w:lvlText w:val="%7."/>
        <w:lvlJc w:val="left"/>
        <w:pPr>
          <w:tabs>
            <w:tab w:val="left" w:pos="624"/>
            <w:tab w:val="left" w:pos="1134"/>
            <w:tab w:val="left" w:pos="1247"/>
            <w:tab w:val="left" w:pos="1814"/>
            <w:tab w:val="left" w:pos="1871"/>
            <w:tab w:val="left" w:pos="2381"/>
            <w:tab w:val="left" w:pos="2495"/>
            <w:tab w:val="left" w:pos="2948"/>
            <w:tab w:val="left" w:pos="3119"/>
            <w:tab w:val="left" w:pos="3515"/>
            <w:tab w:val="num" w:pos="9689"/>
          </w:tabs>
          <w:ind w:left="8555" w:firstLine="8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7FEBCD0">
        <w:start w:val="1"/>
        <w:numFmt w:val="lowerLetter"/>
        <w:lvlText w:val="%8."/>
        <w:lvlJc w:val="left"/>
        <w:pPr>
          <w:tabs>
            <w:tab w:val="left" w:pos="624"/>
            <w:tab w:val="left" w:pos="1134"/>
            <w:tab w:val="left" w:pos="1247"/>
            <w:tab w:val="left" w:pos="1814"/>
            <w:tab w:val="left" w:pos="1871"/>
            <w:tab w:val="left" w:pos="2381"/>
            <w:tab w:val="left" w:pos="2495"/>
            <w:tab w:val="left" w:pos="2948"/>
            <w:tab w:val="left" w:pos="3119"/>
            <w:tab w:val="left" w:pos="3515"/>
            <w:tab w:val="num" w:pos="10409"/>
          </w:tabs>
          <w:ind w:left="9275" w:firstLine="8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35C4F40">
        <w:start w:val="1"/>
        <w:numFmt w:val="lowerRoman"/>
        <w:lvlText w:val="%9."/>
        <w:lvlJc w:val="left"/>
        <w:pPr>
          <w:tabs>
            <w:tab w:val="left" w:pos="624"/>
            <w:tab w:val="left" w:pos="1134"/>
            <w:tab w:val="left" w:pos="1247"/>
            <w:tab w:val="left" w:pos="1814"/>
            <w:tab w:val="left" w:pos="1871"/>
            <w:tab w:val="left" w:pos="2381"/>
            <w:tab w:val="left" w:pos="2495"/>
            <w:tab w:val="left" w:pos="2948"/>
            <w:tab w:val="left" w:pos="3119"/>
            <w:tab w:val="left" w:pos="3515"/>
            <w:tab w:val="num" w:pos="11129"/>
          </w:tabs>
          <w:ind w:left="9995" w:firstLine="9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4"/>
  </w:num>
  <w:num w:numId="7">
    <w:abstractNumId w:val="1"/>
  </w:num>
  <w:num w:numId="8">
    <w:abstractNumId w:val="3"/>
  </w:num>
  <w:num w:numId="9">
    <w:abstractNumId w:val="5"/>
  </w:num>
  <w:num w:numId="10">
    <w:abstractNumId w:val="0"/>
  </w:num>
  <w:num w:numId="11">
    <w:abstractNumId w:val="7"/>
  </w:num>
  <w:num w:numId="12">
    <w:abstractNumId w:val="8"/>
  </w:num>
  <w:num w:numId="1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0"/>
  <w:activeWritingStyle w:appName="MSWord" w:lang="fr-CA" w:vendorID="64" w:dllVersion="0" w:nlCheck="1" w:checkStyle="0"/>
  <w:activeWritingStyle w:appName="MSWord" w:lang="fr-CH" w:vendorID="64" w:dllVersion="0" w:nlCheck="1" w:checkStyle="0"/>
  <w:activeWritingStyle w:appName="MSWord" w:lang="es-ES_tradnl" w:vendorID="64" w:dllVersion="0" w:nlCheck="1" w:checkStyle="0"/>
  <w:proofState w:spelling="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E4A"/>
    <w:rsid w:val="0000181F"/>
    <w:rsid w:val="000022DE"/>
    <w:rsid w:val="000024A3"/>
    <w:rsid w:val="00002CC2"/>
    <w:rsid w:val="00002E10"/>
    <w:rsid w:val="00003533"/>
    <w:rsid w:val="000041A6"/>
    <w:rsid w:val="00005291"/>
    <w:rsid w:val="000077AD"/>
    <w:rsid w:val="000079F5"/>
    <w:rsid w:val="00007EFE"/>
    <w:rsid w:val="000101A4"/>
    <w:rsid w:val="0001090A"/>
    <w:rsid w:val="0001146C"/>
    <w:rsid w:val="00011A16"/>
    <w:rsid w:val="0001290D"/>
    <w:rsid w:val="000149E6"/>
    <w:rsid w:val="00016E76"/>
    <w:rsid w:val="0001775E"/>
    <w:rsid w:val="000201F6"/>
    <w:rsid w:val="000204C0"/>
    <w:rsid w:val="00022246"/>
    <w:rsid w:val="00023BB8"/>
    <w:rsid w:val="00023CD6"/>
    <w:rsid w:val="00023DA9"/>
    <w:rsid w:val="000247B0"/>
    <w:rsid w:val="00026997"/>
    <w:rsid w:val="00026A08"/>
    <w:rsid w:val="0002734E"/>
    <w:rsid w:val="00030BA1"/>
    <w:rsid w:val="000311E3"/>
    <w:rsid w:val="000316FE"/>
    <w:rsid w:val="00031F83"/>
    <w:rsid w:val="00032E4E"/>
    <w:rsid w:val="00033260"/>
    <w:rsid w:val="00033E0B"/>
    <w:rsid w:val="0003406A"/>
    <w:rsid w:val="00034957"/>
    <w:rsid w:val="00034ABA"/>
    <w:rsid w:val="00034D91"/>
    <w:rsid w:val="00035EDE"/>
    <w:rsid w:val="000368A2"/>
    <w:rsid w:val="00037461"/>
    <w:rsid w:val="00037FC2"/>
    <w:rsid w:val="00040319"/>
    <w:rsid w:val="000450C6"/>
    <w:rsid w:val="00045599"/>
    <w:rsid w:val="00046103"/>
    <w:rsid w:val="00046BA4"/>
    <w:rsid w:val="00047302"/>
    <w:rsid w:val="00047771"/>
    <w:rsid w:val="00047DD8"/>
    <w:rsid w:val="000509B4"/>
    <w:rsid w:val="0005148B"/>
    <w:rsid w:val="00051AD0"/>
    <w:rsid w:val="00051BDE"/>
    <w:rsid w:val="0005269E"/>
    <w:rsid w:val="00053D90"/>
    <w:rsid w:val="00054C92"/>
    <w:rsid w:val="0005611D"/>
    <w:rsid w:val="000571FE"/>
    <w:rsid w:val="0006035B"/>
    <w:rsid w:val="0006096F"/>
    <w:rsid w:val="0006147B"/>
    <w:rsid w:val="00062962"/>
    <w:rsid w:val="0006360F"/>
    <w:rsid w:val="000638A4"/>
    <w:rsid w:val="000649C5"/>
    <w:rsid w:val="00064C46"/>
    <w:rsid w:val="00064DA7"/>
    <w:rsid w:val="00065BAF"/>
    <w:rsid w:val="00065D93"/>
    <w:rsid w:val="00067E24"/>
    <w:rsid w:val="00070416"/>
    <w:rsid w:val="00070D93"/>
    <w:rsid w:val="000715D5"/>
    <w:rsid w:val="0007177C"/>
    <w:rsid w:val="00071886"/>
    <w:rsid w:val="00072B8E"/>
    <w:rsid w:val="00073EAE"/>
    <w:rsid w:val="000742BC"/>
    <w:rsid w:val="00074B42"/>
    <w:rsid w:val="00074BC0"/>
    <w:rsid w:val="00074C52"/>
    <w:rsid w:val="00074D99"/>
    <w:rsid w:val="00076156"/>
    <w:rsid w:val="00076304"/>
    <w:rsid w:val="0007676E"/>
    <w:rsid w:val="00076CC6"/>
    <w:rsid w:val="00076D49"/>
    <w:rsid w:val="0007707B"/>
    <w:rsid w:val="000771CB"/>
    <w:rsid w:val="00077AFE"/>
    <w:rsid w:val="00080067"/>
    <w:rsid w:val="000823D1"/>
    <w:rsid w:val="00082A0C"/>
    <w:rsid w:val="00083504"/>
    <w:rsid w:val="00084299"/>
    <w:rsid w:val="0008451B"/>
    <w:rsid w:val="00084E27"/>
    <w:rsid w:val="000858D7"/>
    <w:rsid w:val="00086E40"/>
    <w:rsid w:val="000872B1"/>
    <w:rsid w:val="00090ABA"/>
    <w:rsid w:val="0009104F"/>
    <w:rsid w:val="00091316"/>
    <w:rsid w:val="000943DC"/>
    <w:rsid w:val="000946B9"/>
    <w:rsid w:val="0009640C"/>
    <w:rsid w:val="00096772"/>
    <w:rsid w:val="000973FF"/>
    <w:rsid w:val="000976EB"/>
    <w:rsid w:val="000A060E"/>
    <w:rsid w:val="000A06B8"/>
    <w:rsid w:val="000A0CA1"/>
    <w:rsid w:val="000A0D9A"/>
    <w:rsid w:val="000A26B1"/>
    <w:rsid w:val="000A3260"/>
    <w:rsid w:val="000A3C77"/>
    <w:rsid w:val="000A469C"/>
    <w:rsid w:val="000A482A"/>
    <w:rsid w:val="000A5319"/>
    <w:rsid w:val="000A58D9"/>
    <w:rsid w:val="000A5BB6"/>
    <w:rsid w:val="000B20EB"/>
    <w:rsid w:val="000B22A2"/>
    <w:rsid w:val="000B26FB"/>
    <w:rsid w:val="000B3273"/>
    <w:rsid w:val="000B3E88"/>
    <w:rsid w:val="000B40E0"/>
    <w:rsid w:val="000B506B"/>
    <w:rsid w:val="000B64FA"/>
    <w:rsid w:val="000B73F9"/>
    <w:rsid w:val="000B7A49"/>
    <w:rsid w:val="000C0B42"/>
    <w:rsid w:val="000C21B2"/>
    <w:rsid w:val="000C22BB"/>
    <w:rsid w:val="000C22FE"/>
    <w:rsid w:val="000C297B"/>
    <w:rsid w:val="000C2A52"/>
    <w:rsid w:val="000C2A88"/>
    <w:rsid w:val="000C2BEA"/>
    <w:rsid w:val="000C30A4"/>
    <w:rsid w:val="000C38D6"/>
    <w:rsid w:val="000C5527"/>
    <w:rsid w:val="000C6223"/>
    <w:rsid w:val="000D1849"/>
    <w:rsid w:val="000D1B4C"/>
    <w:rsid w:val="000D212B"/>
    <w:rsid w:val="000D33C0"/>
    <w:rsid w:val="000D4906"/>
    <w:rsid w:val="000D4CF6"/>
    <w:rsid w:val="000D59BD"/>
    <w:rsid w:val="000D60A6"/>
    <w:rsid w:val="000D6941"/>
    <w:rsid w:val="000D6CC4"/>
    <w:rsid w:val="000D7F21"/>
    <w:rsid w:val="000D7F9F"/>
    <w:rsid w:val="000E2405"/>
    <w:rsid w:val="000E37D1"/>
    <w:rsid w:val="000E4188"/>
    <w:rsid w:val="000E599B"/>
    <w:rsid w:val="000E5E79"/>
    <w:rsid w:val="000E72FF"/>
    <w:rsid w:val="000E7319"/>
    <w:rsid w:val="000F084C"/>
    <w:rsid w:val="000F1049"/>
    <w:rsid w:val="000F1466"/>
    <w:rsid w:val="000F3850"/>
    <w:rsid w:val="000F4829"/>
    <w:rsid w:val="000F4902"/>
    <w:rsid w:val="000F4A9C"/>
    <w:rsid w:val="000F4D2A"/>
    <w:rsid w:val="000F5231"/>
    <w:rsid w:val="000F6644"/>
    <w:rsid w:val="000F6E38"/>
    <w:rsid w:val="000F7059"/>
    <w:rsid w:val="000F7919"/>
    <w:rsid w:val="000F7F62"/>
    <w:rsid w:val="00100115"/>
    <w:rsid w:val="00100B4A"/>
    <w:rsid w:val="00100EF4"/>
    <w:rsid w:val="00105827"/>
    <w:rsid w:val="001064CE"/>
    <w:rsid w:val="00107F6D"/>
    <w:rsid w:val="0011125B"/>
    <w:rsid w:val="001112D3"/>
    <w:rsid w:val="00112026"/>
    <w:rsid w:val="0011242B"/>
    <w:rsid w:val="00112FB8"/>
    <w:rsid w:val="001134E5"/>
    <w:rsid w:val="001135F0"/>
    <w:rsid w:val="00116A78"/>
    <w:rsid w:val="0011765B"/>
    <w:rsid w:val="00117FF0"/>
    <w:rsid w:val="001202E3"/>
    <w:rsid w:val="00120977"/>
    <w:rsid w:val="0012111A"/>
    <w:rsid w:val="00122114"/>
    <w:rsid w:val="0012272C"/>
    <w:rsid w:val="00123699"/>
    <w:rsid w:val="00123857"/>
    <w:rsid w:val="001241FB"/>
    <w:rsid w:val="001242AB"/>
    <w:rsid w:val="001245F8"/>
    <w:rsid w:val="00124979"/>
    <w:rsid w:val="00124C6F"/>
    <w:rsid w:val="00124F83"/>
    <w:rsid w:val="00126141"/>
    <w:rsid w:val="001267DB"/>
    <w:rsid w:val="00126EC1"/>
    <w:rsid w:val="001275C6"/>
    <w:rsid w:val="00127F08"/>
    <w:rsid w:val="00127F7E"/>
    <w:rsid w:val="0013016C"/>
    <w:rsid w:val="0013059D"/>
    <w:rsid w:val="00133699"/>
    <w:rsid w:val="00133CDD"/>
    <w:rsid w:val="00134D94"/>
    <w:rsid w:val="00134F13"/>
    <w:rsid w:val="00136187"/>
    <w:rsid w:val="00136BF7"/>
    <w:rsid w:val="001372AE"/>
    <w:rsid w:val="001376A0"/>
    <w:rsid w:val="00137B30"/>
    <w:rsid w:val="00137BFE"/>
    <w:rsid w:val="00140296"/>
    <w:rsid w:val="00140BC6"/>
    <w:rsid w:val="00140CF5"/>
    <w:rsid w:val="00140E75"/>
    <w:rsid w:val="00141A55"/>
    <w:rsid w:val="0014215A"/>
    <w:rsid w:val="0014293F"/>
    <w:rsid w:val="0014371E"/>
    <w:rsid w:val="0014397D"/>
    <w:rsid w:val="001446A3"/>
    <w:rsid w:val="00146DC1"/>
    <w:rsid w:val="0014776A"/>
    <w:rsid w:val="00147976"/>
    <w:rsid w:val="00150D60"/>
    <w:rsid w:val="00152B6B"/>
    <w:rsid w:val="00152E27"/>
    <w:rsid w:val="00153CDC"/>
    <w:rsid w:val="00154971"/>
    <w:rsid w:val="00155395"/>
    <w:rsid w:val="00155944"/>
    <w:rsid w:val="00155A2F"/>
    <w:rsid w:val="00155C65"/>
    <w:rsid w:val="00156B6B"/>
    <w:rsid w:val="00156E94"/>
    <w:rsid w:val="0015786E"/>
    <w:rsid w:val="00160BBE"/>
    <w:rsid w:val="00160D74"/>
    <w:rsid w:val="00162653"/>
    <w:rsid w:val="0016339E"/>
    <w:rsid w:val="001646EA"/>
    <w:rsid w:val="00164E5A"/>
    <w:rsid w:val="00167898"/>
    <w:rsid w:val="001679A0"/>
    <w:rsid w:val="00167D02"/>
    <w:rsid w:val="0017069E"/>
    <w:rsid w:val="001721A2"/>
    <w:rsid w:val="00172D6A"/>
    <w:rsid w:val="00173A45"/>
    <w:rsid w:val="00173C3F"/>
    <w:rsid w:val="00174352"/>
    <w:rsid w:val="00175052"/>
    <w:rsid w:val="00175351"/>
    <w:rsid w:val="0017537C"/>
    <w:rsid w:val="00175765"/>
    <w:rsid w:val="001759D8"/>
    <w:rsid w:val="00175C38"/>
    <w:rsid w:val="00177D7F"/>
    <w:rsid w:val="00180A4B"/>
    <w:rsid w:val="00180C3F"/>
    <w:rsid w:val="00180DAF"/>
    <w:rsid w:val="00181E13"/>
    <w:rsid w:val="00181EC8"/>
    <w:rsid w:val="001822AB"/>
    <w:rsid w:val="00184349"/>
    <w:rsid w:val="00185D82"/>
    <w:rsid w:val="00185F42"/>
    <w:rsid w:val="00185F87"/>
    <w:rsid w:val="00186054"/>
    <w:rsid w:val="0019040A"/>
    <w:rsid w:val="00195142"/>
    <w:rsid w:val="00195F33"/>
    <w:rsid w:val="00196063"/>
    <w:rsid w:val="001960B1"/>
    <w:rsid w:val="00197040"/>
    <w:rsid w:val="001A06D8"/>
    <w:rsid w:val="001A1D62"/>
    <w:rsid w:val="001A23B0"/>
    <w:rsid w:val="001A2A68"/>
    <w:rsid w:val="001A34A9"/>
    <w:rsid w:val="001A5446"/>
    <w:rsid w:val="001A6B72"/>
    <w:rsid w:val="001B1617"/>
    <w:rsid w:val="001B1C51"/>
    <w:rsid w:val="001B1DC6"/>
    <w:rsid w:val="001B2512"/>
    <w:rsid w:val="001B260F"/>
    <w:rsid w:val="001B500C"/>
    <w:rsid w:val="001B504B"/>
    <w:rsid w:val="001B6514"/>
    <w:rsid w:val="001B6F98"/>
    <w:rsid w:val="001B724A"/>
    <w:rsid w:val="001C07F1"/>
    <w:rsid w:val="001C082D"/>
    <w:rsid w:val="001C191A"/>
    <w:rsid w:val="001C3EFD"/>
    <w:rsid w:val="001C4536"/>
    <w:rsid w:val="001C49E6"/>
    <w:rsid w:val="001C75B3"/>
    <w:rsid w:val="001C7707"/>
    <w:rsid w:val="001D0B86"/>
    <w:rsid w:val="001D0EB9"/>
    <w:rsid w:val="001D1749"/>
    <w:rsid w:val="001D29A5"/>
    <w:rsid w:val="001D34EB"/>
    <w:rsid w:val="001D3874"/>
    <w:rsid w:val="001D4158"/>
    <w:rsid w:val="001D5DE3"/>
    <w:rsid w:val="001D7E75"/>
    <w:rsid w:val="001E0512"/>
    <w:rsid w:val="001E0D73"/>
    <w:rsid w:val="001E2004"/>
    <w:rsid w:val="001E3AA2"/>
    <w:rsid w:val="001E4011"/>
    <w:rsid w:val="001E45BD"/>
    <w:rsid w:val="001E4BB1"/>
    <w:rsid w:val="001E518D"/>
    <w:rsid w:val="001E53B8"/>
    <w:rsid w:val="001E56D2"/>
    <w:rsid w:val="001E7219"/>
    <w:rsid w:val="001E7833"/>
    <w:rsid w:val="001E7AB5"/>
    <w:rsid w:val="001E7D56"/>
    <w:rsid w:val="001F1E77"/>
    <w:rsid w:val="001F2420"/>
    <w:rsid w:val="001F2CB1"/>
    <w:rsid w:val="001F322B"/>
    <w:rsid w:val="001F3C42"/>
    <w:rsid w:val="001F436E"/>
    <w:rsid w:val="001F4656"/>
    <w:rsid w:val="001F4BA8"/>
    <w:rsid w:val="001F5887"/>
    <w:rsid w:val="001F6305"/>
    <w:rsid w:val="001F75DE"/>
    <w:rsid w:val="001F7B3E"/>
    <w:rsid w:val="00200D58"/>
    <w:rsid w:val="00200F83"/>
    <w:rsid w:val="002011C1"/>
    <w:rsid w:val="002013BE"/>
    <w:rsid w:val="00201EDC"/>
    <w:rsid w:val="00202D9C"/>
    <w:rsid w:val="00203986"/>
    <w:rsid w:val="00204062"/>
    <w:rsid w:val="00204649"/>
    <w:rsid w:val="00204E4E"/>
    <w:rsid w:val="002063A4"/>
    <w:rsid w:val="00207464"/>
    <w:rsid w:val="00210B6F"/>
    <w:rsid w:val="0021145B"/>
    <w:rsid w:val="002124E3"/>
    <w:rsid w:val="002129AB"/>
    <w:rsid w:val="00213A3A"/>
    <w:rsid w:val="00214C86"/>
    <w:rsid w:val="00215572"/>
    <w:rsid w:val="00216BC1"/>
    <w:rsid w:val="00217058"/>
    <w:rsid w:val="0021743E"/>
    <w:rsid w:val="00217FC6"/>
    <w:rsid w:val="0022002F"/>
    <w:rsid w:val="00220C23"/>
    <w:rsid w:val="00222433"/>
    <w:rsid w:val="00222F7C"/>
    <w:rsid w:val="002231F2"/>
    <w:rsid w:val="00223DE4"/>
    <w:rsid w:val="002243C2"/>
    <w:rsid w:val="002247F6"/>
    <w:rsid w:val="00224DD6"/>
    <w:rsid w:val="00225E21"/>
    <w:rsid w:val="00226F07"/>
    <w:rsid w:val="002276DD"/>
    <w:rsid w:val="002277C9"/>
    <w:rsid w:val="00227AA1"/>
    <w:rsid w:val="00230C73"/>
    <w:rsid w:val="002313A8"/>
    <w:rsid w:val="00234E78"/>
    <w:rsid w:val="00235179"/>
    <w:rsid w:val="0023572B"/>
    <w:rsid w:val="00236927"/>
    <w:rsid w:val="00240AE4"/>
    <w:rsid w:val="00241834"/>
    <w:rsid w:val="00243266"/>
    <w:rsid w:val="00243727"/>
    <w:rsid w:val="0024375B"/>
    <w:rsid w:val="00243D36"/>
    <w:rsid w:val="00244D2D"/>
    <w:rsid w:val="0024586F"/>
    <w:rsid w:val="00246151"/>
    <w:rsid w:val="002464BE"/>
    <w:rsid w:val="00246A39"/>
    <w:rsid w:val="002473D9"/>
    <w:rsid w:val="00247707"/>
    <w:rsid w:val="002478D3"/>
    <w:rsid w:val="00247998"/>
    <w:rsid w:val="00247D22"/>
    <w:rsid w:val="00250C43"/>
    <w:rsid w:val="002525C0"/>
    <w:rsid w:val="00252FEA"/>
    <w:rsid w:val="00253CCE"/>
    <w:rsid w:val="00253F58"/>
    <w:rsid w:val="00255782"/>
    <w:rsid w:val="00255D9A"/>
    <w:rsid w:val="00256EFC"/>
    <w:rsid w:val="0026018E"/>
    <w:rsid w:val="00260281"/>
    <w:rsid w:val="00260D13"/>
    <w:rsid w:val="00263D88"/>
    <w:rsid w:val="002656AE"/>
    <w:rsid w:val="00265804"/>
    <w:rsid w:val="00266A31"/>
    <w:rsid w:val="00266A57"/>
    <w:rsid w:val="002677F9"/>
    <w:rsid w:val="0026795C"/>
    <w:rsid w:val="00267D44"/>
    <w:rsid w:val="00270268"/>
    <w:rsid w:val="0027029C"/>
    <w:rsid w:val="0027128B"/>
    <w:rsid w:val="002735FD"/>
    <w:rsid w:val="002738E4"/>
    <w:rsid w:val="0027629D"/>
    <w:rsid w:val="00277F0D"/>
    <w:rsid w:val="00280153"/>
    <w:rsid w:val="00280186"/>
    <w:rsid w:val="00280A9E"/>
    <w:rsid w:val="00280C10"/>
    <w:rsid w:val="0028141A"/>
    <w:rsid w:val="00281849"/>
    <w:rsid w:val="00282245"/>
    <w:rsid w:val="00284FB1"/>
    <w:rsid w:val="00286740"/>
    <w:rsid w:val="00286BD3"/>
    <w:rsid w:val="002907D8"/>
    <w:rsid w:val="00291EAE"/>
    <w:rsid w:val="00292693"/>
    <w:rsid w:val="002929D8"/>
    <w:rsid w:val="002931BC"/>
    <w:rsid w:val="00293590"/>
    <w:rsid w:val="00293CDC"/>
    <w:rsid w:val="002959C0"/>
    <w:rsid w:val="00296B5A"/>
    <w:rsid w:val="0029714A"/>
    <w:rsid w:val="00297492"/>
    <w:rsid w:val="002A00EB"/>
    <w:rsid w:val="002A0527"/>
    <w:rsid w:val="002A237D"/>
    <w:rsid w:val="002A3007"/>
    <w:rsid w:val="002A3008"/>
    <w:rsid w:val="002A438A"/>
    <w:rsid w:val="002A4A0A"/>
    <w:rsid w:val="002A4C53"/>
    <w:rsid w:val="002A6539"/>
    <w:rsid w:val="002A6FAC"/>
    <w:rsid w:val="002A7DA5"/>
    <w:rsid w:val="002B0672"/>
    <w:rsid w:val="002B06AD"/>
    <w:rsid w:val="002B0A8A"/>
    <w:rsid w:val="002B0CDB"/>
    <w:rsid w:val="002B1420"/>
    <w:rsid w:val="002B1CA8"/>
    <w:rsid w:val="002B247F"/>
    <w:rsid w:val="002B2C46"/>
    <w:rsid w:val="002B3052"/>
    <w:rsid w:val="002B46F0"/>
    <w:rsid w:val="002B50D4"/>
    <w:rsid w:val="002B58BF"/>
    <w:rsid w:val="002B5E8F"/>
    <w:rsid w:val="002B6354"/>
    <w:rsid w:val="002B702C"/>
    <w:rsid w:val="002B78BF"/>
    <w:rsid w:val="002B78ED"/>
    <w:rsid w:val="002C145D"/>
    <w:rsid w:val="002C1501"/>
    <w:rsid w:val="002C1B41"/>
    <w:rsid w:val="002C1BAB"/>
    <w:rsid w:val="002C2852"/>
    <w:rsid w:val="002C2C3E"/>
    <w:rsid w:val="002C3B79"/>
    <w:rsid w:val="002C5301"/>
    <w:rsid w:val="002C533E"/>
    <w:rsid w:val="002C5D5A"/>
    <w:rsid w:val="002C5E36"/>
    <w:rsid w:val="002C691F"/>
    <w:rsid w:val="002C6E4F"/>
    <w:rsid w:val="002D027F"/>
    <w:rsid w:val="002D067F"/>
    <w:rsid w:val="002D1688"/>
    <w:rsid w:val="002D1F46"/>
    <w:rsid w:val="002D20E8"/>
    <w:rsid w:val="002D3A53"/>
    <w:rsid w:val="002D3E15"/>
    <w:rsid w:val="002D5273"/>
    <w:rsid w:val="002D5C5E"/>
    <w:rsid w:val="002D5FB9"/>
    <w:rsid w:val="002D64FF"/>
    <w:rsid w:val="002D7343"/>
    <w:rsid w:val="002D7A85"/>
    <w:rsid w:val="002D7B60"/>
    <w:rsid w:val="002E06D1"/>
    <w:rsid w:val="002E149C"/>
    <w:rsid w:val="002E26FC"/>
    <w:rsid w:val="002E4C4E"/>
    <w:rsid w:val="002E57D3"/>
    <w:rsid w:val="002E5C38"/>
    <w:rsid w:val="002E7D56"/>
    <w:rsid w:val="002F04E4"/>
    <w:rsid w:val="002F4761"/>
    <w:rsid w:val="002F48F4"/>
    <w:rsid w:val="002F5C79"/>
    <w:rsid w:val="002F5D57"/>
    <w:rsid w:val="002F610B"/>
    <w:rsid w:val="002F62ED"/>
    <w:rsid w:val="002F68EE"/>
    <w:rsid w:val="00300A47"/>
    <w:rsid w:val="003018A6"/>
    <w:rsid w:val="003019E2"/>
    <w:rsid w:val="00303BEF"/>
    <w:rsid w:val="00306155"/>
    <w:rsid w:val="00306AB8"/>
    <w:rsid w:val="00306BA6"/>
    <w:rsid w:val="00306D9E"/>
    <w:rsid w:val="00306E35"/>
    <w:rsid w:val="00307F3B"/>
    <w:rsid w:val="00310BEB"/>
    <w:rsid w:val="00310C7A"/>
    <w:rsid w:val="0031230B"/>
    <w:rsid w:val="00313CE0"/>
    <w:rsid w:val="0031413F"/>
    <w:rsid w:val="00314854"/>
    <w:rsid w:val="003148BB"/>
    <w:rsid w:val="003158D0"/>
    <w:rsid w:val="00315B31"/>
    <w:rsid w:val="00316188"/>
    <w:rsid w:val="00316FF1"/>
    <w:rsid w:val="00317976"/>
    <w:rsid w:val="00317E63"/>
    <w:rsid w:val="0032010D"/>
    <w:rsid w:val="00320F2F"/>
    <w:rsid w:val="00321026"/>
    <w:rsid w:val="00321450"/>
    <w:rsid w:val="00322697"/>
    <w:rsid w:val="00322705"/>
    <w:rsid w:val="003240F2"/>
    <w:rsid w:val="0032457E"/>
    <w:rsid w:val="00325D38"/>
    <w:rsid w:val="0032790C"/>
    <w:rsid w:val="0033008D"/>
    <w:rsid w:val="0033316E"/>
    <w:rsid w:val="00334244"/>
    <w:rsid w:val="00335767"/>
    <w:rsid w:val="0033629C"/>
    <w:rsid w:val="00337309"/>
    <w:rsid w:val="00337539"/>
    <w:rsid w:val="00340564"/>
    <w:rsid w:val="003407F9"/>
    <w:rsid w:val="00341E98"/>
    <w:rsid w:val="00344527"/>
    <w:rsid w:val="00344ED3"/>
    <w:rsid w:val="003456C9"/>
    <w:rsid w:val="003467EB"/>
    <w:rsid w:val="0034745B"/>
    <w:rsid w:val="0034792A"/>
    <w:rsid w:val="00350264"/>
    <w:rsid w:val="00351D70"/>
    <w:rsid w:val="00351DF5"/>
    <w:rsid w:val="0035277E"/>
    <w:rsid w:val="00352940"/>
    <w:rsid w:val="00353184"/>
    <w:rsid w:val="003544BB"/>
    <w:rsid w:val="00354E4C"/>
    <w:rsid w:val="00355EA9"/>
    <w:rsid w:val="00356D88"/>
    <w:rsid w:val="00356F46"/>
    <w:rsid w:val="003573BF"/>
    <w:rsid w:val="003578DE"/>
    <w:rsid w:val="00360044"/>
    <w:rsid w:val="00360A24"/>
    <w:rsid w:val="00361378"/>
    <w:rsid w:val="00361688"/>
    <w:rsid w:val="00361F43"/>
    <w:rsid w:val="003627F9"/>
    <w:rsid w:val="00362C4F"/>
    <w:rsid w:val="00362CA8"/>
    <w:rsid w:val="00363CA5"/>
    <w:rsid w:val="003645F6"/>
    <w:rsid w:val="00366DEC"/>
    <w:rsid w:val="003703B8"/>
    <w:rsid w:val="00371D89"/>
    <w:rsid w:val="00371E75"/>
    <w:rsid w:val="0037412B"/>
    <w:rsid w:val="003753B1"/>
    <w:rsid w:val="00375513"/>
    <w:rsid w:val="003803CD"/>
    <w:rsid w:val="00383E58"/>
    <w:rsid w:val="0038408D"/>
    <w:rsid w:val="003841ED"/>
    <w:rsid w:val="00384EDF"/>
    <w:rsid w:val="00386494"/>
    <w:rsid w:val="00386C3F"/>
    <w:rsid w:val="003877D5"/>
    <w:rsid w:val="003878B2"/>
    <w:rsid w:val="003879C2"/>
    <w:rsid w:val="0039024C"/>
    <w:rsid w:val="00390ABA"/>
    <w:rsid w:val="00390FBD"/>
    <w:rsid w:val="00391A9A"/>
    <w:rsid w:val="003929B8"/>
    <w:rsid w:val="00393432"/>
    <w:rsid w:val="00393AFC"/>
    <w:rsid w:val="003946C7"/>
    <w:rsid w:val="00396257"/>
    <w:rsid w:val="0039699F"/>
    <w:rsid w:val="00396B0D"/>
    <w:rsid w:val="0039796B"/>
    <w:rsid w:val="00397EB8"/>
    <w:rsid w:val="00397FE4"/>
    <w:rsid w:val="003A0103"/>
    <w:rsid w:val="003A1ABC"/>
    <w:rsid w:val="003A1B4C"/>
    <w:rsid w:val="003A1E40"/>
    <w:rsid w:val="003A4FD0"/>
    <w:rsid w:val="003A54D4"/>
    <w:rsid w:val="003A5671"/>
    <w:rsid w:val="003A69D1"/>
    <w:rsid w:val="003A70B9"/>
    <w:rsid w:val="003A76B1"/>
    <w:rsid w:val="003A7705"/>
    <w:rsid w:val="003A77F1"/>
    <w:rsid w:val="003A7B61"/>
    <w:rsid w:val="003B1545"/>
    <w:rsid w:val="003B2EEF"/>
    <w:rsid w:val="003B4B9D"/>
    <w:rsid w:val="003B4E0F"/>
    <w:rsid w:val="003B57F8"/>
    <w:rsid w:val="003C1432"/>
    <w:rsid w:val="003C19C3"/>
    <w:rsid w:val="003C25AF"/>
    <w:rsid w:val="003C3219"/>
    <w:rsid w:val="003C33F7"/>
    <w:rsid w:val="003C3478"/>
    <w:rsid w:val="003C3AFC"/>
    <w:rsid w:val="003C3E11"/>
    <w:rsid w:val="003C3ECE"/>
    <w:rsid w:val="003C409D"/>
    <w:rsid w:val="003C485A"/>
    <w:rsid w:val="003C4A79"/>
    <w:rsid w:val="003C53F0"/>
    <w:rsid w:val="003C5583"/>
    <w:rsid w:val="003C59BA"/>
    <w:rsid w:val="003C5AC0"/>
    <w:rsid w:val="003C5BA6"/>
    <w:rsid w:val="003C5D84"/>
    <w:rsid w:val="003C61E3"/>
    <w:rsid w:val="003C74CF"/>
    <w:rsid w:val="003C7545"/>
    <w:rsid w:val="003D16FB"/>
    <w:rsid w:val="003D20AA"/>
    <w:rsid w:val="003D22DE"/>
    <w:rsid w:val="003D2335"/>
    <w:rsid w:val="003D3752"/>
    <w:rsid w:val="003D3CE7"/>
    <w:rsid w:val="003D3E42"/>
    <w:rsid w:val="003D3F7D"/>
    <w:rsid w:val="003D4F51"/>
    <w:rsid w:val="003D4FA4"/>
    <w:rsid w:val="003D5AF7"/>
    <w:rsid w:val="003D633C"/>
    <w:rsid w:val="003D78E0"/>
    <w:rsid w:val="003E040C"/>
    <w:rsid w:val="003E0737"/>
    <w:rsid w:val="003E0BD0"/>
    <w:rsid w:val="003E3178"/>
    <w:rsid w:val="003E35DA"/>
    <w:rsid w:val="003E455D"/>
    <w:rsid w:val="003E54D3"/>
    <w:rsid w:val="003E57B8"/>
    <w:rsid w:val="003E726C"/>
    <w:rsid w:val="003E7983"/>
    <w:rsid w:val="003F03FE"/>
    <w:rsid w:val="003F04A4"/>
    <w:rsid w:val="003F0863"/>
    <w:rsid w:val="003F0E85"/>
    <w:rsid w:val="003F1E83"/>
    <w:rsid w:val="003F3A37"/>
    <w:rsid w:val="003F5FAB"/>
    <w:rsid w:val="003F7D26"/>
    <w:rsid w:val="00402EC9"/>
    <w:rsid w:val="00403274"/>
    <w:rsid w:val="00404BF8"/>
    <w:rsid w:val="00405356"/>
    <w:rsid w:val="0040545F"/>
    <w:rsid w:val="00406B78"/>
    <w:rsid w:val="00406DF5"/>
    <w:rsid w:val="00406FB7"/>
    <w:rsid w:val="0040788A"/>
    <w:rsid w:val="00410C55"/>
    <w:rsid w:val="004114A7"/>
    <w:rsid w:val="00412291"/>
    <w:rsid w:val="0041287E"/>
    <w:rsid w:val="00414402"/>
    <w:rsid w:val="004146E9"/>
    <w:rsid w:val="00415552"/>
    <w:rsid w:val="004158C1"/>
    <w:rsid w:val="00415CB3"/>
    <w:rsid w:val="00416854"/>
    <w:rsid w:val="00417725"/>
    <w:rsid w:val="00420018"/>
    <w:rsid w:val="004200CB"/>
    <w:rsid w:val="00420281"/>
    <w:rsid w:val="00421119"/>
    <w:rsid w:val="00421484"/>
    <w:rsid w:val="0042266F"/>
    <w:rsid w:val="0042269A"/>
    <w:rsid w:val="0042271C"/>
    <w:rsid w:val="00422F39"/>
    <w:rsid w:val="00423C9B"/>
    <w:rsid w:val="0042432C"/>
    <w:rsid w:val="00425889"/>
    <w:rsid w:val="004258BA"/>
    <w:rsid w:val="0042711F"/>
    <w:rsid w:val="00427A73"/>
    <w:rsid w:val="004305F3"/>
    <w:rsid w:val="004314F8"/>
    <w:rsid w:val="00432048"/>
    <w:rsid w:val="00432EBA"/>
    <w:rsid w:val="00433266"/>
    <w:rsid w:val="0043339F"/>
    <w:rsid w:val="004342FE"/>
    <w:rsid w:val="004373C1"/>
    <w:rsid w:val="00437BE8"/>
    <w:rsid w:val="00437F26"/>
    <w:rsid w:val="00440CFD"/>
    <w:rsid w:val="00441680"/>
    <w:rsid w:val="00441C60"/>
    <w:rsid w:val="004423B4"/>
    <w:rsid w:val="00442554"/>
    <w:rsid w:val="004438A1"/>
    <w:rsid w:val="00444097"/>
    <w:rsid w:val="00444566"/>
    <w:rsid w:val="00444AB9"/>
    <w:rsid w:val="00445487"/>
    <w:rsid w:val="00446514"/>
    <w:rsid w:val="00446653"/>
    <w:rsid w:val="00447636"/>
    <w:rsid w:val="00447E0D"/>
    <w:rsid w:val="00450B4E"/>
    <w:rsid w:val="004527B1"/>
    <w:rsid w:val="00452F66"/>
    <w:rsid w:val="00453EA8"/>
    <w:rsid w:val="00454769"/>
    <w:rsid w:val="004550D8"/>
    <w:rsid w:val="004554D6"/>
    <w:rsid w:val="00456F8E"/>
    <w:rsid w:val="004618B1"/>
    <w:rsid w:val="004620C6"/>
    <w:rsid w:val="004638D4"/>
    <w:rsid w:val="004642A0"/>
    <w:rsid w:val="00464CEF"/>
    <w:rsid w:val="00464D16"/>
    <w:rsid w:val="00465A56"/>
    <w:rsid w:val="00466991"/>
    <w:rsid w:val="00466E8D"/>
    <w:rsid w:val="0047059E"/>
    <w:rsid w:val="0047064C"/>
    <w:rsid w:val="00471DE3"/>
    <w:rsid w:val="00473B55"/>
    <w:rsid w:val="00473DA7"/>
    <w:rsid w:val="00474130"/>
    <w:rsid w:val="00474271"/>
    <w:rsid w:val="00474E87"/>
    <w:rsid w:val="00476A20"/>
    <w:rsid w:val="0047746D"/>
    <w:rsid w:val="00480FA5"/>
    <w:rsid w:val="004822B7"/>
    <w:rsid w:val="0048263C"/>
    <w:rsid w:val="00484092"/>
    <w:rsid w:val="0048432F"/>
    <w:rsid w:val="004845CD"/>
    <w:rsid w:val="00484C30"/>
    <w:rsid w:val="00484D59"/>
    <w:rsid w:val="00484D5B"/>
    <w:rsid w:val="00485211"/>
    <w:rsid w:val="00485F20"/>
    <w:rsid w:val="00485F38"/>
    <w:rsid w:val="0048674D"/>
    <w:rsid w:val="00486EA5"/>
    <w:rsid w:val="00490AC1"/>
    <w:rsid w:val="00491B86"/>
    <w:rsid w:val="00491E99"/>
    <w:rsid w:val="0049469E"/>
    <w:rsid w:val="00495FE9"/>
    <w:rsid w:val="0049699E"/>
    <w:rsid w:val="004A0CE6"/>
    <w:rsid w:val="004A2217"/>
    <w:rsid w:val="004A24F9"/>
    <w:rsid w:val="004A2587"/>
    <w:rsid w:val="004A2FEB"/>
    <w:rsid w:val="004A4221"/>
    <w:rsid w:val="004A42E1"/>
    <w:rsid w:val="004A59FE"/>
    <w:rsid w:val="004A6C57"/>
    <w:rsid w:val="004A70F2"/>
    <w:rsid w:val="004A786A"/>
    <w:rsid w:val="004B0179"/>
    <w:rsid w:val="004B15DE"/>
    <w:rsid w:val="004B162C"/>
    <w:rsid w:val="004B1846"/>
    <w:rsid w:val="004B2536"/>
    <w:rsid w:val="004B2663"/>
    <w:rsid w:val="004B2ABE"/>
    <w:rsid w:val="004B2BBB"/>
    <w:rsid w:val="004B4520"/>
    <w:rsid w:val="004B4A7C"/>
    <w:rsid w:val="004B5FF4"/>
    <w:rsid w:val="004B670B"/>
    <w:rsid w:val="004C0144"/>
    <w:rsid w:val="004C06FA"/>
    <w:rsid w:val="004C0DBE"/>
    <w:rsid w:val="004C1AAD"/>
    <w:rsid w:val="004C232A"/>
    <w:rsid w:val="004C3562"/>
    <w:rsid w:val="004C396D"/>
    <w:rsid w:val="004C3DBE"/>
    <w:rsid w:val="004C589D"/>
    <w:rsid w:val="004C5C96"/>
    <w:rsid w:val="004C635D"/>
    <w:rsid w:val="004C67BC"/>
    <w:rsid w:val="004C782C"/>
    <w:rsid w:val="004D06A4"/>
    <w:rsid w:val="004D08F0"/>
    <w:rsid w:val="004D0F3B"/>
    <w:rsid w:val="004D1C34"/>
    <w:rsid w:val="004D2192"/>
    <w:rsid w:val="004D26AF"/>
    <w:rsid w:val="004D30B9"/>
    <w:rsid w:val="004D3889"/>
    <w:rsid w:val="004D3918"/>
    <w:rsid w:val="004D449D"/>
    <w:rsid w:val="004E2512"/>
    <w:rsid w:val="004E32F2"/>
    <w:rsid w:val="004E4BD7"/>
    <w:rsid w:val="004E5067"/>
    <w:rsid w:val="004E55B0"/>
    <w:rsid w:val="004E613C"/>
    <w:rsid w:val="004F0422"/>
    <w:rsid w:val="004F1A81"/>
    <w:rsid w:val="004F25C4"/>
    <w:rsid w:val="004F2986"/>
    <w:rsid w:val="004F30E7"/>
    <w:rsid w:val="004F32C2"/>
    <w:rsid w:val="004F3435"/>
    <w:rsid w:val="004F4446"/>
    <w:rsid w:val="004F6AB5"/>
    <w:rsid w:val="004F6BBB"/>
    <w:rsid w:val="00502B8A"/>
    <w:rsid w:val="00503745"/>
    <w:rsid w:val="00503EDF"/>
    <w:rsid w:val="005050D2"/>
    <w:rsid w:val="0050519C"/>
    <w:rsid w:val="005061DC"/>
    <w:rsid w:val="00506646"/>
    <w:rsid w:val="00506AA6"/>
    <w:rsid w:val="00512C43"/>
    <w:rsid w:val="00512C95"/>
    <w:rsid w:val="00512CE1"/>
    <w:rsid w:val="0051334F"/>
    <w:rsid w:val="005218D9"/>
    <w:rsid w:val="00522504"/>
    <w:rsid w:val="0052365D"/>
    <w:rsid w:val="00523700"/>
    <w:rsid w:val="00523741"/>
    <w:rsid w:val="00524583"/>
    <w:rsid w:val="005245EA"/>
    <w:rsid w:val="005248C3"/>
    <w:rsid w:val="00525055"/>
    <w:rsid w:val="00525C28"/>
    <w:rsid w:val="00525F24"/>
    <w:rsid w:val="00526572"/>
    <w:rsid w:val="00526627"/>
    <w:rsid w:val="00527C42"/>
    <w:rsid w:val="005305E4"/>
    <w:rsid w:val="00532268"/>
    <w:rsid w:val="00532ECF"/>
    <w:rsid w:val="005331A4"/>
    <w:rsid w:val="00533298"/>
    <w:rsid w:val="005337D4"/>
    <w:rsid w:val="00533D15"/>
    <w:rsid w:val="00536186"/>
    <w:rsid w:val="00536E36"/>
    <w:rsid w:val="00537C2C"/>
    <w:rsid w:val="0054011A"/>
    <w:rsid w:val="00540798"/>
    <w:rsid w:val="00541F02"/>
    <w:rsid w:val="00541F82"/>
    <w:rsid w:val="005420FE"/>
    <w:rsid w:val="00542790"/>
    <w:rsid w:val="00542C3D"/>
    <w:rsid w:val="00543FC4"/>
    <w:rsid w:val="00544CBB"/>
    <w:rsid w:val="00545411"/>
    <w:rsid w:val="00545C98"/>
    <w:rsid w:val="00550567"/>
    <w:rsid w:val="00551B65"/>
    <w:rsid w:val="005525CD"/>
    <w:rsid w:val="005526D0"/>
    <w:rsid w:val="00552A4B"/>
    <w:rsid w:val="00556704"/>
    <w:rsid w:val="0055700D"/>
    <w:rsid w:val="0055746A"/>
    <w:rsid w:val="00557802"/>
    <w:rsid w:val="005612C9"/>
    <w:rsid w:val="00561C9D"/>
    <w:rsid w:val="0056298A"/>
    <w:rsid w:val="00562FC3"/>
    <w:rsid w:val="005632EB"/>
    <w:rsid w:val="005656D7"/>
    <w:rsid w:val="00566BE8"/>
    <w:rsid w:val="0056710E"/>
    <w:rsid w:val="00567449"/>
    <w:rsid w:val="00571545"/>
    <w:rsid w:val="005722DA"/>
    <w:rsid w:val="0057315F"/>
    <w:rsid w:val="00573544"/>
    <w:rsid w:val="005742C4"/>
    <w:rsid w:val="00575204"/>
    <w:rsid w:val="00575218"/>
    <w:rsid w:val="005759EF"/>
    <w:rsid w:val="00576104"/>
    <w:rsid w:val="00576360"/>
    <w:rsid w:val="00576AAC"/>
    <w:rsid w:val="00576C35"/>
    <w:rsid w:val="00577234"/>
    <w:rsid w:val="0058036E"/>
    <w:rsid w:val="00580DA5"/>
    <w:rsid w:val="00581422"/>
    <w:rsid w:val="005814D7"/>
    <w:rsid w:val="005818ED"/>
    <w:rsid w:val="00581D30"/>
    <w:rsid w:val="00582351"/>
    <w:rsid w:val="00582B57"/>
    <w:rsid w:val="00582FF1"/>
    <w:rsid w:val="0058482F"/>
    <w:rsid w:val="00585E94"/>
    <w:rsid w:val="00586418"/>
    <w:rsid w:val="0058717E"/>
    <w:rsid w:val="0059160B"/>
    <w:rsid w:val="00592B21"/>
    <w:rsid w:val="00592C90"/>
    <w:rsid w:val="005933DA"/>
    <w:rsid w:val="00594158"/>
    <w:rsid w:val="00594F96"/>
    <w:rsid w:val="00597442"/>
    <w:rsid w:val="005A04CB"/>
    <w:rsid w:val="005A1B6C"/>
    <w:rsid w:val="005A24E7"/>
    <w:rsid w:val="005A3438"/>
    <w:rsid w:val="005A3A01"/>
    <w:rsid w:val="005A4DA6"/>
    <w:rsid w:val="005A5BA7"/>
    <w:rsid w:val="005B01A5"/>
    <w:rsid w:val="005B0B0B"/>
    <w:rsid w:val="005B3A1F"/>
    <w:rsid w:val="005B44BF"/>
    <w:rsid w:val="005B5615"/>
    <w:rsid w:val="005B5674"/>
    <w:rsid w:val="005B6337"/>
    <w:rsid w:val="005C0A4B"/>
    <w:rsid w:val="005C1D68"/>
    <w:rsid w:val="005C1EBB"/>
    <w:rsid w:val="005C2202"/>
    <w:rsid w:val="005C2374"/>
    <w:rsid w:val="005C54BD"/>
    <w:rsid w:val="005C5575"/>
    <w:rsid w:val="005C5B8B"/>
    <w:rsid w:val="005C642C"/>
    <w:rsid w:val="005C67C8"/>
    <w:rsid w:val="005C72CB"/>
    <w:rsid w:val="005D0249"/>
    <w:rsid w:val="005D0E49"/>
    <w:rsid w:val="005D1838"/>
    <w:rsid w:val="005D18FA"/>
    <w:rsid w:val="005D232B"/>
    <w:rsid w:val="005D32EE"/>
    <w:rsid w:val="005D3C8A"/>
    <w:rsid w:val="005D4AEE"/>
    <w:rsid w:val="005D4FD4"/>
    <w:rsid w:val="005D52F3"/>
    <w:rsid w:val="005D55EB"/>
    <w:rsid w:val="005D6E8C"/>
    <w:rsid w:val="005D74C4"/>
    <w:rsid w:val="005E0613"/>
    <w:rsid w:val="005E1911"/>
    <w:rsid w:val="005E1C94"/>
    <w:rsid w:val="005E2EA0"/>
    <w:rsid w:val="005E3004"/>
    <w:rsid w:val="005E437B"/>
    <w:rsid w:val="005E550A"/>
    <w:rsid w:val="005E5CEC"/>
    <w:rsid w:val="005E689D"/>
    <w:rsid w:val="005E71B2"/>
    <w:rsid w:val="005E734E"/>
    <w:rsid w:val="005E754A"/>
    <w:rsid w:val="005E784F"/>
    <w:rsid w:val="005F100C"/>
    <w:rsid w:val="005F1481"/>
    <w:rsid w:val="005F225C"/>
    <w:rsid w:val="005F2BE6"/>
    <w:rsid w:val="005F4715"/>
    <w:rsid w:val="005F4EA4"/>
    <w:rsid w:val="005F5A9E"/>
    <w:rsid w:val="005F5AF3"/>
    <w:rsid w:val="005F5FCF"/>
    <w:rsid w:val="005F68DA"/>
    <w:rsid w:val="005F6DEB"/>
    <w:rsid w:val="005F7419"/>
    <w:rsid w:val="006003B8"/>
    <w:rsid w:val="006008FA"/>
    <w:rsid w:val="00601BC9"/>
    <w:rsid w:val="00603C91"/>
    <w:rsid w:val="0060773B"/>
    <w:rsid w:val="0061146F"/>
    <w:rsid w:val="0061271A"/>
    <w:rsid w:val="00612FE4"/>
    <w:rsid w:val="00613FD6"/>
    <w:rsid w:val="00614113"/>
    <w:rsid w:val="00614FDC"/>
    <w:rsid w:val="006157B5"/>
    <w:rsid w:val="00615A74"/>
    <w:rsid w:val="00617224"/>
    <w:rsid w:val="006228E1"/>
    <w:rsid w:val="006233A3"/>
    <w:rsid w:val="00623B94"/>
    <w:rsid w:val="006253A9"/>
    <w:rsid w:val="0062566D"/>
    <w:rsid w:val="00625EA6"/>
    <w:rsid w:val="00626FC6"/>
    <w:rsid w:val="0062743E"/>
    <w:rsid w:val="006303B4"/>
    <w:rsid w:val="00630ADC"/>
    <w:rsid w:val="00631725"/>
    <w:rsid w:val="00631D0F"/>
    <w:rsid w:val="006338B0"/>
    <w:rsid w:val="006339E2"/>
    <w:rsid w:val="00633D3D"/>
    <w:rsid w:val="006342ED"/>
    <w:rsid w:val="0063542F"/>
    <w:rsid w:val="00636CCD"/>
    <w:rsid w:val="006403DE"/>
    <w:rsid w:val="00640B57"/>
    <w:rsid w:val="00640C6B"/>
    <w:rsid w:val="00641703"/>
    <w:rsid w:val="0064210D"/>
    <w:rsid w:val="006431A6"/>
    <w:rsid w:val="006439F3"/>
    <w:rsid w:val="00643AAA"/>
    <w:rsid w:val="00643D13"/>
    <w:rsid w:val="00643E3A"/>
    <w:rsid w:val="00645064"/>
    <w:rsid w:val="006459F6"/>
    <w:rsid w:val="00645CD6"/>
    <w:rsid w:val="006463D2"/>
    <w:rsid w:val="00646905"/>
    <w:rsid w:val="006501AD"/>
    <w:rsid w:val="006508AA"/>
    <w:rsid w:val="006509BD"/>
    <w:rsid w:val="006509CD"/>
    <w:rsid w:val="00651080"/>
    <w:rsid w:val="0065121F"/>
    <w:rsid w:val="006517C9"/>
    <w:rsid w:val="00651BFA"/>
    <w:rsid w:val="00654475"/>
    <w:rsid w:val="00655A81"/>
    <w:rsid w:val="00655AE8"/>
    <w:rsid w:val="00655C71"/>
    <w:rsid w:val="00656DDA"/>
    <w:rsid w:val="00656DF0"/>
    <w:rsid w:val="00657221"/>
    <w:rsid w:val="00657B34"/>
    <w:rsid w:val="00661125"/>
    <w:rsid w:val="00661133"/>
    <w:rsid w:val="00661C92"/>
    <w:rsid w:val="00663D4E"/>
    <w:rsid w:val="00663D7B"/>
    <w:rsid w:val="00665A4B"/>
    <w:rsid w:val="00665A61"/>
    <w:rsid w:val="006670DC"/>
    <w:rsid w:val="00667AA1"/>
    <w:rsid w:val="006702F3"/>
    <w:rsid w:val="006712CA"/>
    <w:rsid w:val="00672406"/>
    <w:rsid w:val="00673471"/>
    <w:rsid w:val="00673B91"/>
    <w:rsid w:val="006758D4"/>
    <w:rsid w:val="0067613E"/>
    <w:rsid w:val="00676B53"/>
    <w:rsid w:val="00676D28"/>
    <w:rsid w:val="00677707"/>
    <w:rsid w:val="00677C61"/>
    <w:rsid w:val="006805D6"/>
    <w:rsid w:val="00682614"/>
    <w:rsid w:val="00682DF0"/>
    <w:rsid w:val="0068379B"/>
    <w:rsid w:val="00683C6C"/>
    <w:rsid w:val="00683EEC"/>
    <w:rsid w:val="00684732"/>
    <w:rsid w:val="00684D50"/>
    <w:rsid w:val="00687D98"/>
    <w:rsid w:val="006918C4"/>
    <w:rsid w:val="0069217C"/>
    <w:rsid w:val="00692AB9"/>
    <w:rsid w:val="00692E17"/>
    <w:rsid w:val="00692E2A"/>
    <w:rsid w:val="00692EAA"/>
    <w:rsid w:val="00693405"/>
    <w:rsid w:val="00693648"/>
    <w:rsid w:val="006936AD"/>
    <w:rsid w:val="006941C3"/>
    <w:rsid w:val="0069496A"/>
    <w:rsid w:val="00696422"/>
    <w:rsid w:val="00696B4F"/>
    <w:rsid w:val="00697970"/>
    <w:rsid w:val="00697A93"/>
    <w:rsid w:val="006A21CF"/>
    <w:rsid w:val="006A2330"/>
    <w:rsid w:val="006A28CD"/>
    <w:rsid w:val="006A3E18"/>
    <w:rsid w:val="006A3FDE"/>
    <w:rsid w:val="006A6137"/>
    <w:rsid w:val="006A76F2"/>
    <w:rsid w:val="006A77E7"/>
    <w:rsid w:val="006B0384"/>
    <w:rsid w:val="006B05E6"/>
    <w:rsid w:val="006B210C"/>
    <w:rsid w:val="006B4C09"/>
    <w:rsid w:val="006B5D2C"/>
    <w:rsid w:val="006B63F4"/>
    <w:rsid w:val="006B7D29"/>
    <w:rsid w:val="006C0D4B"/>
    <w:rsid w:val="006C1563"/>
    <w:rsid w:val="006C15DF"/>
    <w:rsid w:val="006C172A"/>
    <w:rsid w:val="006C1744"/>
    <w:rsid w:val="006C2E76"/>
    <w:rsid w:val="006C307B"/>
    <w:rsid w:val="006C30B5"/>
    <w:rsid w:val="006C30FF"/>
    <w:rsid w:val="006C449B"/>
    <w:rsid w:val="006C47D7"/>
    <w:rsid w:val="006C5761"/>
    <w:rsid w:val="006C5B5A"/>
    <w:rsid w:val="006C5DE3"/>
    <w:rsid w:val="006C7266"/>
    <w:rsid w:val="006D19D4"/>
    <w:rsid w:val="006D28E6"/>
    <w:rsid w:val="006D2E48"/>
    <w:rsid w:val="006D531F"/>
    <w:rsid w:val="006D5644"/>
    <w:rsid w:val="006D572B"/>
    <w:rsid w:val="006D5E1D"/>
    <w:rsid w:val="006D7154"/>
    <w:rsid w:val="006D7EFB"/>
    <w:rsid w:val="006E0DBE"/>
    <w:rsid w:val="006E17B0"/>
    <w:rsid w:val="006E2E3B"/>
    <w:rsid w:val="006E3DB4"/>
    <w:rsid w:val="006E4012"/>
    <w:rsid w:val="006E412F"/>
    <w:rsid w:val="006E4AA3"/>
    <w:rsid w:val="006E4E56"/>
    <w:rsid w:val="006E551C"/>
    <w:rsid w:val="006E5AEE"/>
    <w:rsid w:val="006E6672"/>
    <w:rsid w:val="006E6722"/>
    <w:rsid w:val="006E6B70"/>
    <w:rsid w:val="006E6F43"/>
    <w:rsid w:val="006E6F90"/>
    <w:rsid w:val="006F1DDB"/>
    <w:rsid w:val="006F2691"/>
    <w:rsid w:val="006F2B8F"/>
    <w:rsid w:val="006F3BF8"/>
    <w:rsid w:val="006F404E"/>
    <w:rsid w:val="006F5A89"/>
    <w:rsid w:val="006F6EC2"/>
    <w:rsid w:val="006F7AFF"/>
    <w:rsid w:val="00701C9F"/>
    <w:rsid w:val="007027B9"/>
    <w:rsid w:val="007030B0"/>
    <w:rsid w:val="0070330C"/>
    <w:rsid w:val="00704FD9"/>
    <w:rsid w:val="00705BEE"/>
    <w:rsid w:val="00706656"/>
    <w:rsid w:val="007066B5"/>
    <w:rsid w:val="0070718C"/>
    <w:rsid w:val="007079E7"/>
    <w:rsid w:val="00711586"/>
    <w:rsid w:val="007123B4"/>
    <w:rsid w:val="007138CE"/>
    <w:rsid w:val="00713C93"/>
    <w:rsid w:val="007144E3"/>
    <w:rsid w:val="0071458C"/>
    <w:rsid w:val="007145DA"/>
    <w:rsid w:val="00714672"/>
    <w:rsid w:val="0071481B"/>
    <w:rsid w:val="00715E88"/>
    <w:rsid w:val="00721D6A"/>
    <w:rsid w:val="00721FEB"/>
    <w:rsid w:val="00722A5A"/>
    <w:rsid w:val="00723529"/>
    <w:rsid w:val="00724FA3"/>
    <w:rsid w:val="00725024"/>
    <w:rsid w:val="007251D9"/>
    <w:rsid w:val="007255A4"/>
    <w:rsid w:val="007257B4"/>
    <w:rsid w:val="00727370"/>
    <w:rsid w:val="007274FD"/>
    <w:rsid w:val="00731434"/>
    <w:rsid w:val="007320CA"/>
    <w:rsid w:val="00732596"/>
    <w:rsid w:val="0073309A"/>
    <w:rsid w:val="00734A3D"/>
    <w:rsid w:val="00734CAA"/>
    <w:rsid w:val="007352F3"/>
    <w:rsid w:val="0073595E"/>
    <w:rsid w:val="00735BE4"/>
    <w:rsid w:val="00737D3E"/>
    <w:rsid w:val="00740EE2"/>
    <w:rsid w:val="0074199F"/>
    <w:rsid w:val="00741CFD"/>
    <w:rsid w:val="00741F6F"/>
    <w:rsid w:val="00742680"/>
    <w:rsid w:val="0074379A"/>
    <w:rsid w:val="007439CD"/>
    <w:rsid w:val="007447F7"/>
    <w:rsid w:val="00744D8B"/>
    <w:rsid w:val="0074521A"/>
    <w:rsid w:val="0074623A"/>
    <w:rsid w:val="00746DCC"/>
    <w:rsid w:val="007479E3"/>
    <w:rsid w:val="00750159"/>
    <w:rsid w:val="00750F82"/>
    <w:rsid w:val="007514AD"/>
    <w:rsid w:val="00752221"/>
    <w:rsid w:val="007534D9"/>
    <w:rsid w:val="007540A3"/>
    <w:rsid w:val="0075533C"/>
    <w:rsid w:val="007561FF"/>
    <w:rsid w:val="00756DF7"/>
    <w:rsid w:val="0075743F"/>
    <w:rsid w:val="00757581"/>
    <w:rsid w:val="007602F5"/>
    <w:rsid w:val="00760D36"/>
    <w:rsid w:val="007611A0"/>
    <w:rsid w:val="00762C9D"/>
    <w:rsid w:val="00764548"/>
    <w:rsid w:val="00765BDF"/>
    <w:rsid w:val="00766419"/>
    <w:rsid w:val="00766A18"/>
    <w:rsid w:val="00770F49"/>
    <w:rsid w:val="00771914"/>
    <w:rsid w:val="00772574"/>
    <w:rsid w:val="00772BB2"/>
    <w:rsid w:val="00772BD1"/>
    <w:rsid w:val="007734A1"/>
    <w:rsid w:val="00773AF0"/>
    <w:rsid w:val="00773E54"/>
    <w:rsid w:val="007742BA"/>
    <w:rsid w:val="0077553D"/>
    <w:rsid w:val="00775BB3"/>
    <w:rsid w:val="007826D0"/>
    <w:rsid w:val="0078452C"/>
    <w:rsid w:val="00784564"/>
    <w:rsid w:val="00784643"/>
    <w:rsid w:val="007863CF"/>
    <w:rsid w:val="00787688"/>
    <w:rsid w:val="007905AC"/>
    <w:rsid w:val="007919C8"/>
    <w:rsid w:val="00791A62"/>
    <w:rsid w:val="007935E6"/>
    <w:rsid w:val="00793C57"/>
    <w:rsid w:val="00793EE0"/>
    <w:rsid w:val="00794DB5"/>
    <w:rsid w:val="00795C70"/>
    <w:rsid w:val="00796118"/>
    <w:rsid w:val="00796870"/>
    <w:rsid w:val="00796D20"/>
    <w:rsid w:val="00796D3F"/>
    <w:rsid w:val="007972A8"/>
    <w:rsid w:val="007A1683"/>
    <w:rsid w:val="007A24FD"/>
    <w:rsid w:val="007A25DB"/>
    <w:rsid w:val="007A42CC"/>
    <w:rsid w:val="007A5C12"/>
    <w:rsid w:val="007A6FA5"/>
    <w:rsid w:val="007A7C5A"/>
    <w:rsid w:val="007A7CB0"/>
    <w:rsid w:val="007B03E4"/>
    <w:rsid w:val="007B09AC"/>
    <w:rsid w:val="007B124B"/>
    <w:rsid w:val="007B1F75"/>
    <w:rsid w:val="007B477D"/>
    <w:rsid w:val="007B595A"/>
    <w:rsid w:val="007B639E"/>
    <w:rsid w:val="007B66CB"/>
    <w:rsid w:val="007B68A3"/>
    <w:rsid w:val="007B6FAF"/>
    <w:rsid w:val="007B7066"/>
    <w:rsid w:val="007B7E28"/>
    <w:rsid w:val="007C06FC"/>
    <w:rsid w:val="007C1ACD"/>
    <w:rsid w:val="007C236B"/>
    <w:rsid w:val="007C2541"/>
    <w:rsid w:val="007C2903"/>
    <w:rsid w:val="007C4978"/>
    <w:rsid w:val="007C6B01"/>
    <w:rsid w:val="007C6C5E"/>
    <w:rsid w:val="007D00C2"/>
    <w:rsid w:val="007D0DEE"/>
    <w:rsid w:val="007D15F9"/>
    <w:rsid w:val="007D281E"/>
    <w:rsid w:val="007D2B8E"/>
    <w:rsid w:val="007D3B3F"/>
    <w:rsid w:val="007D3E52"/>
    <w:rsid w:val="007D528E"/>
    <w:rsid w:val="007D56B4"/>
    <w:rsid w:val="007D5726"/>
    <w:rsid w:val="007D5838"/>
    <w:rsid w:val="007D646C"/>
    <w:rsid w:val="007D66A8"/>
    <w:rsid w:val="007D6C37"/>
    <w:rsid w:val="007E003F"/>
    <w:rsid w:val="007E4A98"/>
    <w:rsid w:val="007E5BD9"/>
    <w:rsid w:val="007E6B82"/>
    <w:rsid w:val="007E7309"/>
    <w:rsid w:val="007F005D"/>
    <w:rsid w:val="007F07AF"/>
    <w:rsid w:val="007F0AFE"/>
    <w:rsid w:val="007F0CF8"/>
    <w:rsid w:val="007F1C16"/>
    <w:rsid w:val="007F1D7F"/>
    <w:rsid w:val="007F2F24"/>
    <w:rsid w:val="007F30B4"/>
    <w:rsid w:val="007F327E"/>
    <w:rsid w:val="007F3E94"/>
    <w:rsid w:val="007F44CF"/>
    <w:rsid w:val="007F4FF2"/>
    <w:rsid w:val="007F5785"/>
    <w:rsid w:val="007F62CB"/>
    <w:rsid w:val="00800345"/>
    <w:rsid w:val="00800B3E"/>
    <w:rsid w:val="00801302"/>
    <w:rsid w:val="00801CAD"/>
    <w:rsid w:val="00803C64"/>
    <w:rsid w:val="00805264"/>
    <w:rsid w:val="00806151"/>
    <w:rsid w:val="008065C6"/>
    <w:rsid w:val="008113AE"/>
    <w:rsid w:val="00811741"/>
    <w:rsid w:val="00811B84"/>
    <w:rsid w:val="00811C37"/>
    <w:rsid w:val="008128A2"/>
    <w:rsid w:val="00812CE2"/>
    <w:rsid w:val="008132CB"/>
    <w:rsid w:val="00813745"/>
    <w:rsid w:val="008140D7"/>
    <w:rsid w:val="00814103"/>
    <w:rsid w:val="008142EC"/>
    <w:rsid w:val="00815752"/>
    <w:rsid w:val="008164F2"/>
    <w:rsid w:val="00816557"/>
    <w:rsid w:val="00820EE3"/>
    <w:rsid w:val="00821395"/>
    <w:rsid w:val="008228B5"/>
    <w:rsid w:val="00823775"/>
    <w:rsid w:val="00823DA6"/>
    <w:rsid w:val="00826131"/>
    <w:rsid w:val="0082651A"/>
    <w:rsid w:val="00830A62"/>
    <w:rsid w:val="00830E26"/>
    <w:rsid w:val="0083176B"/>
    <w:rsid w:val="00832E17"/>
    <w:rsid w:val="00833057"/>
    <w:rsid w:val="008334A8"/>
    <w:rsid w:val="00834E1B"/>
    <w:rsid w:val="008368D7"/>
    <w:rsid w:val="00836D59"/>
    <w:rsid w:val="0083711C"/>
    <w:rsid w:val="0083732C"/>
    <w:rsid w:val="0083767F"/>
    <w:rsid w:val="00837C5E"/>
    <w:rsid w:val="008418D9"/>
    <w:rsid w:val="008427BB"/>
    <w:rsid w:val="00843518"/>
    <w:rsid w:val="00843576"/>
    <w:rsid w:val="00843B64"/>
    <w:rsid w:val="00845011"/>
    <w:rsid w:val="008457C5"/>
    <w:rsid w:val="00846231"/>
    <w:rsid w:val="008478FC"/>
    <w:rsid w:val="00847A7F"/>
    <w:rsid w:val="00850DBB"/>
    <w:rsid w:val="00851C51"/>
    <w:rsid w:val="008536D2"/>
    <w:rsid w:val="00853842"/>
    <w:rsid w:val="00856F11"/>
    <w:rsid w:val="00857A1D"/>
    <w:rsid w:val="00861839"/>
    <w:rsid w:val="00861A83"/>
    <w:rsid w:val="00863982"/>
    <w:rsid w:val="00864D01"/>
    <w:rsid w:val="00866467"/>
    <w:rsid w:val="00866EEA"/>
    <w:rsid w:val="00867BFF"/>
    <w:rsid w:val="00870009"/>
    <w:rsid w:val="00870B3C"/>
    <w:rsid w:val="00871542"/>
    <w:rsid w:val="00872BF6"/>
    <w:rsid w:val="00874153"/>
    <w:rsid w:val="0087447E"/>
    <w:rsid w:val="0087540B"/>
    <w:rsid w:val="00875635"/>
    <w:rsid w:val="00875A51"/>
    <w:rsid w:val="008775E9"/>
    <w:rsid w:val="00880437"/>
    <w:rsid w:val="00880E8C"/>
    <w:rsid w:val="0088134F"/>
    <w:rsid w:val="008834C8"/>
    <w:rsid w:val="00883643"/>
    <w:rsid w:val="00883F14"/>
    <w:rsid w:val="00883FB1"/>
    <w:rsid w:val="00884438"/>
    <w:rsid w:val="0088480A"/>
    <w:rsid w:val="00884D04"/>
    <w:rsid w:val="00885C10"/>
    <w:rsid w:val="0088757A"/>
    <w:rsid w:val="0088787B"/>
    <w:rsid w:val="00887D29"/>
    <w:rsid w:val="00887ECB"/>
    <w:rsid w:val="00892811"/>
    <w:rsid w:val="00892A96"/>
    <w:rsid w:val="008930CA"/>
    <w:rsid w:val="00893A30"/>
    <w:rsid w:val="0089431B"/>
    <w:rsid w:val="00895668"/>
    <w:rsid w:val="008957DD"/>
    <w:rsid w:val="00896768"/>
    <w:rsid w:val="00897A90"/>
    <w:rsid w:val="00897D98"/>
    <w:rsid w:val="008A1C86"/>
    <w:rsid w:val="008A2213"/>
    <w:rsid w:val="008A23FE"/>
    <w:rsid w:val="008A4109"/>
    <w:rsid w:val="008A42AD"/>
    <w:rsid w:val="008A5F88"/>
    <w:rsid w:val="008A6594"/>
    <w:rsid w:val="008A6DF2"/>
    <w:rsid w:val="008A7254"/>
    <w:rsid w:val="008A7807"/>
    <w:rsid w:val="008A7BDD"/>
    <w:rsid w:val="008B0BF2"/>
    <w:rsid w:val="008B0ED1"/>
    <w:rsid w:val="008B1BAA"/>
    <w:rsid w:val="008B2CB5"/>
    <w:rsid w:val="008B374A"/>
    <w:rsid w:val="008B459A"/>
    <w:rsid w:val="008B48B3"/>
    <w:rsid w:val="008B4CC9"/>
    <w:rsid w:val="008B580B"/>
    <w:rsid w:val="008B738F"/>
    <w:rsid w:val="008B77B5"/>
    <w:rsid w:val="008B7888"/>
    <w:rsid w:val="008C03F7"/>
    <w:rsid w:val="008C0B15"/>
    <w:rsid w:val="008C0E31"/>
    <w:rsid w:val="008C125D"/>
    <w:rsid w:val="008C187C"/>
    <w:rsid w:val="008C1CCB"/>
    <w:rsid w:val="008C3A51"/>
    <w:rsid w:val="008C42A8"/>
    <w:rsid w:val="008C4841"/>
    <w:rsid w:val="008C5C2C"/>
    <w:rsid w:val="008C61B9"/>
    <w:rsid w:val="008C6BC3"/>
    <w:rsid w:val="008D0A94"/>
    <w:rsid w:val="008D1903"/>
    <w:rsid w:val="008D19DE"/>
    <w:rsid w:val="008D22E5"/>
    <w:rsid w:val="008D4BF3"/>
    <w:rsid w:val="008D4D92"/>
    <w:rsid w:val="008D5182"/>
    <w:rsid w:val="008D5638"/>
    <w:rsid w:val="008D749B"/>
    <w:rsid w:val="008D75E4"/>
    <w:rsid w:val="008D7C99"/>
    <w:rsid w:val="008E0FCB"/>
    <w:rsid w:val="008E1032"/>
    <w:rsid w:val="008E1320"/>
    <w:rsid w:val="008E238F"/>
    <w:rsid w:val="008E39C2"/>
    <w:rsid w:val="008E3D61"/>
    <w:rsid w:val="008E4024"/>
    <w:rsid w:val="008E4D6C"/>
    <w:rsid w:val="008E53ED"/>
    <w:rsid w:val="008E7834"/>
    <w:rsid w:val="008E7940"/>
    <w:rsid w:val="008E7F92"/>
    <w:rsid w:val="008F0087"/>
    <w:rsid w:val="008F2833"/>
    <w:rsid w:val="008F5820"/>
    <w:rsid w:val="008F5B28"/>
    <w:rsid w:val="008F5D16"/>
    <w:rsid w:val="008F6623"/>
    <w:rsid w:val="008F6DFE"/>
    <w:rsid w:val="009008F0"/>
    <w:rsid w:val="009019B8"/>
    <w:rsid w:val="00902FCF"/>
    <w:rsid w:val="00903B83"/>
    <w:rsid w:val="0090529F"/>
    <w:rsid w:val="0090694D"/>
    <w:rsid w:val="00906AE6"/>
    <w:rsid w:val="0090732B"/>
    <w:rsid w:val="00911401"/>
    <w:rsid w:val="00911E3A"/>
    <w:rsid w:val="00914EB4"/>
    <w:rsid w:val="00915BC4"/>
    <w:rsid w:val="00915C5A"/>
    <w:rsid w:val="00915D10"/>
    <w:rsid w:val="00917660"/>
    <w:rsid w:val="00917A21"/>
    <w:rsid w:val="00920A83"/>
    <w:rsid w:val="00921098"/>
    <w:rsid w:val="0092178C"/>
    <w:rsid w:val="009218C0"/>
    <w:rsid w:val="00922C12"/>
    <w:rsid w:val="00922D17"/>
    <w:rsid w:val="0092326C"/>
    <w:rsid w:val="00923D82"/>
    <w:rsid w:val="0092407B"/>
    <w:rsid w:val="00924A4B"/>
    <w:rsid w:val="0093046B"/>
    <w:rsid w:val="009306C1"/>
    <w:rsid w:val="00930B51"/>
    <w:rsid w:val="00930B7D"/>
    <w:rsid w:val="00930B88"/>
    <w:rsid w:val="009318B9"/>
    <w:rsid w:val="00933852"/>
    <w:rsid w:val="00933C1C"/>
    <w:rsid w:val="00934E0D"/>
    <w:rsid w:val="00935376"/>
    <w:rsid w:val="009405AC"/>
    <w:rsid w:val="00940ABA"/>
    <w:rsid w:val="00940DCC"/>
    <w:rsid w:val="0094179A"/>
    <w:rsid w:val="009417C1"/>
    <w:rsid w:val="00941DFD"/>
    <w:rsid w:val="0094258D"/>
    <w:rsid w:val="0094459E"/>
    <w:rsid w:val="00944DBC"/>
    <w:rsid w:val="00946239"/>
    <w:rsid w:val="009464DD"/>
    <w:rsid w:val="00946525"/>
    <w:rsid w:val="00947FCB"/>
    <w:rsid w:val="00950977"/>
    <w:rsid w:val="009510B1"/>
    <w:rsid w:val="0095170D"/>
    <w:rsid w:val="00951A7B"/>
    <w:rsid w:val="0095292A"/>
    <w:rsid w:val="00952F9D"/>
    <w:rsid w:val="00953D70"/>
    <w:rsid w:val="00955512"/>
    <w:rsid w:val="009564A6"/>
    <w:rsid w:val="00956C03"/>
    <w:rsid w:val="00957DA4"/>
    <w:rsid w:val="00957EF8"/>
    <w:rsid w:val="00960B45"/>
    <w:rsid w:val="00960DA0"/>
    <w:rsid w:val="00960EC1"/>
    <w:rsid w:val="0096131F"/>
    <w:rsid w:val="0096190A"/>
    <w:rsid w:val="00962695"/>
    <w:rsid w:val="0096355F"/>
    <w:rsid w:val="00963BEA"/>
    <w:rsid w:val="00964973"/>
    <w:rsid w:val="00965EC3"/>
    <w:rsid w:val="00966A4D"/>
    <w:rsid w:val="00966A53"/>
    <w:rsid w:val="00967621"/>
    <w:rsid w:val="00967966"/>
    <w:rsid w:val="00967E6A"/>
    <w:rsid w:val="00970116"/>
    <w:rsid w:val="0097162D"/>
    <w:rsid w:val="00972754"/>
    <w:rsid w:val="00973495"/>
    <w:rsid w:val="009736FA"/>
    <w:rsid w:val="00973D7A"/>
    <w:rsid w:val="00974C2A"/>
    <w:rsid w:val="00975096"/>
    <w:rsid w:val="00975639"/>
    <w:rsid w:val="00976326"/>
    <w:rsid w:val="00976548"/>
    <w:rsid w:val="00981462"/>
    <w:rsid w:val="0098155B"/>
    <w:rsid w:val="00981AC1"/>
    <w:rsid w:val="00983763"/>
    <w:rsid w:val="00983B21"/>
    <w:rsid w:val="0098579B"/>
    <w:rsid w:val="00985BDA"/>
    <w:rsid w:val="009870F9"/>
    <w:rsid w:val="00987B73"/>
    <w:rsid w:val="0099042F"/>
    <w:rsid w:val="009907B9"/>
    <w:rsid w:val="00990918"/>
    <w:rsid w:val="0099216A"/>
    <w:rsid w:val="009921AF"/>
    <w:rsid w:val="009923D6"/>
    <w:rsid w:val="00992C2C"/>
    <w:rsid w:val="00993A97"/>
    <w:rsid w:val="0099587D"/>
    <w:rsid w:val="00995C1B"/>
    <w:rsid w:val="00996D90"/>
    <w:rsid w:val="009A174C"/>
    <w:rsid w:val="009A287F"/>
    <w:rsid w:val="009A3A83"/>
    <w:rsid w:val="009B1CF4"/>
    <w:rsid w:val="009B287D"/>
    <w:rsid w:val="009B2F52"/>
    <w:rsid w:val="009B4A0F"/>
    <w:rsid w:val="009B4D15"/>
    <w:rsid w:val="009B508D"/>
    <w:rsid w:val="009C0718"/>
    <w:rsid w:val="009C0C39"/>
    <w:rsid w:val="009C1189"/>
    <w:rsid w:val="009C11D2"/>
    <w:rsid w:val="009C2728"/>
    <w:rsid w:val="009C35F0"/>
    <w:rsid w:val="009C46DF"/>
    <w:rsid w:val="009C4B7F"/>
    <w:rsid w:val="009C4DDC"/>
    <w:rsid w:val="009C5465"/>
    <w:rsid w:val="009C566C"/>
    <w:rsid w:val="009C5BFC"/>
    <w:rsid w:val="009C5EDE"/>
    <w:rsid w:val="009C6294"/>
    <w:rsid w:val="009C69B6"/>
    <w:rsid w:val="009C6C70"/>
    <w:rsid w:val="009C6F30"/>
    <w:rsid w:val="009C7B0A"/>
    <w:rsid w:val="009D097E"/>
    <w:rsid w:val="009D0B63"/>
    <w:rsid w:val="009D1F2C"/>
    <w:rsid w:val="009D3156"/>
    <w:rsid w:val="009D5A02"/>
    <w:rsid w:val="009D5CB8"/>
    <w:rsid w:val="009D7426"/>
    <w:rsid w:val="009E0119"/>
    <w:rsid w:val="009E01D1"/>
    <w:rsid w:val="009E0533"/>
    <w:rsid w:val="009E159C"/>
    <w:rsid w:val="009E234F"/>
    <w:rsid w:val="009E24CC"/>
    <w:rsid w:val="009E29DA"/>
    <w:rsid w:val="009E307E"/>
    <w:rsid w:val="009E366D"/>
    <w:rsid w:val="009E3D6D"/>
    <w:rsid w:val="009E478F"/>
    <w:rsid w:val="009E517F"/>
    <w:rsid w:val="009E557D"/>
    <w:rsid w:val="009E5B0C"/>
    <w:rsid w:val="009F1770"/>
    <w:rsid w:val="009F1E0E"/>
    <w:rsid w:val="009F1E27"/>
    <w:rsid w:val="009F1E5D"/>
    <w:rsid w:val="009F2205"/>
    <w:rsid w:val="009F3A90"/>
    <w:rsid w:val="009F4431"/>
    <w:rsid w:val="009F4921"/>
    <w:rsid w:val="009F5013"/>
    <w:rsid w:val="009F5613"/>
    <w:rsid w:val="009F5E7E"/>
    <w:rsid w:val="009F6250"/>
    <w:rsid w:val="009F6A9B"/>
    <w:rsid w:val="009F76A9"/>
    <w:rsid w:val="00A002CD"/>
    <w:rsid w:val="00A01AD4"/>
    <w:rsid w:val="00A034A5"/>
    <w:rsid w:val="00A0453C"/>
    <w:rsid w:val="00A06DF8"/>
    <w:rsid w:val="00A072AD"/>
    <w:rsid w:val="00A07870"/>
    <w:rsid w:val="00A07C54"/>
    <w:rsid w:val="00A07F19"/>
    <w:rsid w:val="00A10103"/>
    <w:rsid w:val="00A1094C"/>
    <w:rsid w:val="00A11608"/>
    <w:rsid w:val="00A11E01"/>
    <w:rsid w:val="00A12E6D"/>
    <w:rsid w:val="00A130CD"/>
    <w:rsid w:val="00A1348D"/>
    <w:rsid w:val="00A13B94"/>
    <w:rsid w:val="00A13C99"/>
    <w:rsid w:val="00A142F8"/>
    <w:rsid w:val="00A14AC6"/>
    <w:rsid w:val="00A14E8B"/>
    <w:rsid w:val="00A15A38"/>
    <w:rsid w:val="00A15BE2"/>
    <w:rsid w:val="00A16365"/>
    <w:rsid w:val="00A22237"/>
    <w:rsid w:val="00A232EE"/>
    <w:rsid w:val="00A23FF6"/>
    <w:rsid w:val="00A24CCB"/>
    <w:rsid w:val="00A25DE4"/>
    <w:rsid w:val="00A272F7"/>
    <w:rsid w:val="00A27C9F"/>
    <w:rsid w:val="00A30061"/>
    <w:rsid w:val="00A304EB"/>
    <w:rsid w:val="00A30AD6"/>
    <w:rsid w:val="00A3118A"/>
    <w:rsid w:val="00A3208D"/>
    <w:rsid w:val="00A32767"/>
    <w:rsid w:val="00A327E4"/>
    <w:rsid w:val="00A329FD"/>
    <w:rsid w:val="00A3304A"/>
    <w:rsid w:val="00A3385E"/>
    <w:rsid w:val="00A33880"/>
    <w:rsid w:val="00A3403F"/>
    <w:rsid w:val="00A35247"/>
    <w:rsid w:val="00A359A5"/>
    <w:rsid w:val="00A36827"/>
    <w:rsid w:val="00A3762E"/>
    <w:rsid w:val="00A37708"/>
    <w:rsid w:val="00A4175F"/>
    <w:rsid w:val="00A4311D"/>
    <w:rsid w:val="00A438B7"/>
    <w:rsid w:val="00A44411"/>
    <w:rsid w:val="00A45788"/>
    <w:rsid w:val="00A45930"/>
    <w:rsid w:val="00A45D4A"/>
    <w:rsid w:val="00A469FA"/>
    <w:rsid w:val="00A46E44"/>
    <w:rsid w:val="00A476CE"/>
    <w:rsid w:val="00A47A5E"/>
    <w:rsid w:val="00A50017"/>
    <w:rsid w:val="00A507F9"/>
    <w:rsid w:val="00A53662"/>
    <w:rsid w:val="00A548CB"/>
    <w:rsid w:val="00A54AD3"/>
    <w:rsid w:val="00A55387"/>
    <w:rsid w:val="00A55A7E"/>
    <w:rsid w:val="00A55B01"/>
    <w:rsid w:val="00A56146"/>
    <w:rsid w:val="00A564FC"/>
    <w:rsid w:val="00A56B5B"/>
    <w:rsid w:val="00A603FF"/>
    <w:rsid w:val="00A6182B"/>
    <w:rsid w:val="00A619B6"/>
    <w:rsid w:val="00A61AC1"/>
    <w:rsid w:val="00A620E3"/>
    <w:rsid w:val="00A63576"/>
    <w:rsid w:val="00A63A54"/>
    <w:rsid w:val="00A6475E"/>
    <w:rsid w:val="00A648CA"/>
    <w:rsid w:val="00A64A9C"/>
    <w:rsid w:val="00A657DD"/>
    <w:rsid w:val="00A666A6"/>
    <w:rsid w:val="00A675FD"/>
    <w:rsid w:val="00A72437"/>
    <w:rsid w:val="00A72519"/>
    <w:rsid w:val="00A7465A"/>
    <w:rsid w:val="00A75710"/>
    <w:rsid w:val="00A80445"/>
    <w:rsid w:val="00A8048B"/>
    <w:rsid w:val="00A80611"/>
    <w:rsid w:val="00A813ED"/>
    <w:rsid w:val="00A81D25"/>
    <w:rsid w:val="00A83B68"/>
    <w:rsid w:val="00A84383"/>
    <w:rsid w:val="00A848E8"/>
    <w:rsid w:val="00A84E43"/>
    <w:rsid w:val="00A861E8"/>
    <w:rsid w:val="00A873FC"/>
    <w:rsid w:val="00A90987"/>
    <w:rsid w:val="00A91664"/>
    <w:rsid w:val="00A92755"/>
    <w:rsid w:val="00A94C3D"/>
    <w:rsid w:val="00A951AD"/>
    <w:rsid w:val="00A95F9E"/>
    <w:rsid w:val="00AA0024"/>
    <w:rsid w:val="00AA0925"/>
    <w:rsid w:val="00AA0B9F"/>
    <w:rsid w:val="00AA1653"/>
    <w:rsid w:val="00AA1C7B"/>
    <w:rsid w:val="00AA3EEE"/>
    <w:rsid w:val="00AA5BF4"/>
    <w:rsid w:val="00AA6DFA"/>
    <w:rsid w:val="00AB0937"/>
    <w:rsid w:val="00AB1194"/>
    <w:rsid w:val="00AB125F"/>
    <w:rsid w:val="00AB12C7"/>
    <w:rsid w:val="00AB20A3"/>
    <w:rsid w:val="00AB2285"/>
    <w:rsid w:val="00AB4D86"/>
    <w:rsid w:val="00AB5340"/>
    <w:rsid w:val="00AB5B30"/>
    <w:rsid w:val="00AB5F18"/>
    <w:rsid w:val="00AC0433"/>
    <w:rsid w:val="00AC0A89"/>
    <w:rsid w:val="00AC0FF1"/>
    <w:rsid w:val="00AC3678"/>
    <w:rsid w:val="00AC42F7"/>
    <w:rsid w:val="00AC7C96"/>
    <w:rsid w:val="00AD209B"/>
    <w:rsid w:val="00AD21C7"/>
    <w:rsid w:val="00AD3059"/>
    <w:rsid w:val="00AD51B6"/>
    <w:rsid w:val="00AD6069"/>
    <w:rsid w:val="00AD60CB"/>
    <w:rsid w:val="00AD6C8D"/>
    <w:rsid w:val="00AD7D00"/>
    <w:rsid w:val="00AE0812"/>
    <w:rsid w:val="00AE2127"/>
    <w:rsid w:val="00AE237D"/>
    <w:rsid w:val="00AE452B"/>
    <w:rsid w:val="00AE502A"/>
    <w:rsid w:val="00AE5AA2"/>
    <w:rsid w:val="00AE5CAF"/>
    <w:rsid w:val="00AE7253"/>
    <w:rsid w:val="00AE7C3B"/>
    <w:rsid w:val="00AE7F0B"/>
    <w:rsid w:val="00AF0010"/>
    <w:rsid w:val="00AF2C1F"/>
    <w:rsid w:val="00AF4B4B"/>
    <w:rsid w:val="00AF5372"/>
    <w:rsid w:val="00AF7310"/>
    <w:rsid w:val="00AF7C07"/>
    <w:rsid w:val="00AF7C55"/>
    <w:rsid w:val="00B03F7B"/>
    <w:rsid w:val="00B04CE5"/>
    <w:rsid w:val="00B05406"/>
    <w:rsid w:val="00B06625"/>
    <w:rsid w:val="00B06969"/>
    <w:rsid w:val="00B06C64"/>
    <w:rsid w:val="00B077E2"/>
    <w:rsid w:val="00B10483"/>
    <w:rsid w:val="00B117F7"/>
    <w:rsid w:val="00B11915"/>
    <w:rsid w:val="00B1197C"/>
    <w:rsid w:val="00B119FB"/>
    <w:rsid w:val="00B11CAC"/>
    <w:rsid w:val="00B12743"/>
    <w:rsid w:val="00B1360F"/>
    <w:rsid w:val="00B14B83"/>
    <w:rsid w:val="00B15766"/>
    <w:rsid w:val="00B15A29"/>
    <w:rsid w:val="00B16325"/>
    <w:rsid w:val="00B17A1A"/>
    <w:rsid w:val="00B20BC3"/>
    <w:rsid w:val="00B2166B"/>
    <w:rsid w:val="00B22C93"/>
    <w:rsid w:val="00B239A5"/>
    <w:rsid w:val="00B24768"/>
    <w:rsid w:val="00B249C0"/>
    <w:rsid w:val="00B25338"/>
    <w:rsid w:val="00B255B3"/>
    <w:rsid w:val="00B26433"/>
    <w:rsid w:val="00B26B97"/>
    <w:rsid w:val="00B26DFD"/>
    <w:rsid w:val="00B26F2F"/>
    <w:rsid w:val="00B27589"/>
    <w:rsid w:val="00B27BE2"/>
    <w:rsid w:val="00B33504"/>
    <w:rsid w:val="00B35F31"/>
    <w:rsid w:val="00B361B6"/>
    <w:rsid w:val="00B36736"/>
    <w:rsid w:val="00B36C8C"/>
    <w:rsid w:val="00B3741C"/>
    <w:rsid w:val="00B37B1F"/>
    <w:rsid w:val="00B405B7"/>
    <w:rsid w:val="00B40DE4"/>
    <w:rsid w:val="00B4107D"/>
    <w:rsid w:val="00B418B8"/>
    <w:rsid w:val="00B42038"/>
    <w:rsid w:val="00B42858"/>
    <w:rsid w:val="00B42CD9"/>
    <w:rsid w:val="00B42F92"/>
    <w:rsid w:val="00B4457F"/>
    <w:rsid w:val="00B44704"/>
    <w:rsid w:val="00B45148"/>
    <w:rsid w:val="00B456DA"/>
    <w:rsid w:val="00B458F2"/>
    <w:rsid w:val="00B46CF0"/>
    <w:rsid w:val="00B46F03"/>
    <w:rsid w:val="00B47CCB"/>
    <w:rsid w:val="00B517DA"/>
    <w:rsid w:val="00B52222"/>
    <w:rsid w:val="00B5279F"/>
    <w:rsid w:val="00B53003"/>
    <w:rsid w:val="00B531DA"/>
    <w:rsid w:val="00B54895"/>
    <w:rsid w:val="00B54FE7"/>
    <w:rsid w:val="00B557C2"/>
    <w:rsid w:val="00B566CF"/>
    <w:rsid w:val="00B60732"/>
    <w:rsid w:val="00B622A5"/>
    <w:rsid w:val="00B629ED"/>
    <w:rsid w:val="00B62A2E"/>
    <w:rsid w:val="00B644B1"/>
    <w:rsid w:val="00B647C6"/>
    <w:rsid w:val="00B655F9"/>
    <w:rsid w:val="00B66901"/>
    <w:rsid w:val="00B66F60"/>
    <w:rsid w:val="00B66F82"/>
    <w:rsid w:val="00B67438"/>
    <w:rsid w:val="00B67E69"/>
    <w:rsid w:val="00B7050C"/>
    <w:rsid w:val="00B7199E"/>
    <w:rsid w:val="00B71E6D"/>
    <w:rsid w:val="00B72070"/>
    <w:rsid w:val="00B75474"/>
    <w:rsid w:val="00B7589E"/>
    <w:rsid w:val="00B759A6"/>
    <w:rsid w:val="00B76A3B"/>
    <w:rsid w:val="00B77855"/>
    <w:rsid w:val="00B779E1"/>
    <w:rsid w:val="00B80163"/>
    <w:rsid w:val="00B810D7"/>
    <w:rsid w:val="00B81AAF"/>
    <w:rsid w:val="00B81D67"/>
    <w:rsid w:val="00B81E3A"/>
    <w:rsid w:val="00B822F6"/>
    <w:rsid w:val="00B82920"/>
    <w:rsid w:val="00B83C52"/>
    <w:rsid w:val="00B845C6"/>
    <w:rsid w:val="00B84C60"/>
    <w:rsid w:val="00B85CFB"/>
    <w:rsid w:val="00B860D3"/>
    <w:rsid w:val="00B86FA6"/>
    <w:rsid w:val="00B914E9"/>
    <w:rsid w:val="00B91EE1"/>
    <w:rsid w:val="00B92996"/>
    <w:rsid w:val="00B92CFA"/>
    <w:rsid w:val="00B93517"/>
    <w:rsid w:val="00B942E0"/>
    <w:rsid w:val="00B94602"/>
    <w:rsid w:val="00B9551C"/>
    <w:rsid w:val="00BA0090"/>
    <w:rsid w:val="00BA126A"/>
    <w:rsid w:val="00BA1708"/>
    <w:rsid w:val="00BA1A67"/>
    <w:rsid w:val="00BA4788"/>
    <w:rsid w:val="00BA5064"/>
    <w:rsid w:val="00BA5E21"/>
    <w:rsid w:val="00BA6368"/>
    <w:rsid w:val="00BA6611"/>
    <w:rsid w:val="00BA6A80"/>
    <w:rsid w:val="00BB1373"/>
    <w:rsid w:val="00BB274D"/>
    <w:rsid w:val="00BB2A46"/>
    <w:rsid w:val="00BB39E9"/>
    <w:rsid w:val="00BB4ABB"/>
    <w:rsid w:val="00BB4CFC"/>
    <w:rsid w:val="00BC0646"/>
    <w:rsid w:val="00BC1349"/>
    <w:rsid w:val="00BC1D86"/>
    <w:rsid w:val="00BC1FAE"/>
    <w:rsid w:val="00BC62BA"/>
    <w:rsid w:val="00BC76CD"/>
    <w:rsid w:val="00BD32B3"/>
    <w:rsid w:val="00BD3D81"/>
    <w:rsid w:val="00BD504A"/>
    <w:rsid w:val="00BD5196"/>
    <w:rsid w:val="00BD646D"/>
    <w:rsid w:val="00BD6F90"/>
    <w:rsid w:val="00BE092C"/>
    <w:rsid w:val="00BE0D97"/>
    <w:rsid w:val="00BE0DC9"/>
    <w:rsid w:val="00BE0E29"/>
    <w:rsid w:val="00BE1325"/>
    <w:rsid w:val="00BE4962"/>
    <w:rsid w:val="00BE4BFD"/>
    <w:rsid w:val="00BE50AC"/>
    <w:rsid w:val="00BE5B5F"/>
    <w:rsid w:val="00BE6CFF"/>
    <w:rsid w:val="00BE752D"/>
    <w:rsid w:val="00BE7993"/>
    <w:rsid w:val="00BF1197"/>
    <w:rsid w:val="00BF18B7"/>
    <w:rsid w:val="00BF1E65"/>
    <w:rsid w:val="00BF478C"/>
    <w:rsid w:val="00BF7DF9"/>
    <w:rsid w:val="00C004F4"/>
    <w:rsid w:val="00C00589"/>
    <w:rsid w:val="00C0170E"/>
    <w:rsid w:val="00C02044"/>
    <w:rsid w:val="00C043FA"/>
    <w:rsid w:val="00C07529"/>
    <w:rsid w:val="00C07F5B"/>
    <w:rsid w:val="00C1096C"/>
    <w:rsid w:val="00C11EFC"/>
    <w:rsid w:val="00C130AB"/>
    <w:rsid w:val="00C14C16"/>
    <w:rsid w:val="00C15894"/>
    <w:rsid w:val="00C15EC7"/>
    <w:rsid w:val="00C167F4"/>
    <w:rsid w:val="00C169F9"/>
    <w:rsid w:val="00C16F76"/>
    <w:rsid w:val="00C17A91"/>
    <w:rsid w:val="00C20254"/>
    <w:rsid w:val="00C21AC5"/>
    <w:rsid w:val="00C22BDC"/>
    <w:rsid w:val="00C22C95"/>
    <w:rsid w:val="00C23644"/>
    <w:rsid w:val="00C243BA"/>
    <w:rsid w:val="00C24DFA"/>
    <w:rsid w:val="00C26C1F"/>
    <w:rsid w:val="00C26F55"/>
    <w:rsid w:val="00C3018E"/>
    <w:rsid w:val="00C30C61"/>
    <w:rsid w:val="00C30C63"/>
    <w:rsid w:val="00C30FF3"/>
    <w:rsid w:val="00C323F8"/>
    <w:rsid w:val="00C32789"/>
    <w:rsid w:val="00C331DD"/>
    <w:rsid w:val="00C33507"/>
    <w:rsid w:val="00C3360F"/>
    <w:rsid w:val="00C336C9"/>
    <w:rsid w:val="00C336F7"/>
    <w:rsid w:val="00C35B02"/>
    <w:rsid w:val="00C3626F"/>
    <w:rsid w:val="00C36B8B"/>
    <w:rsid w:val="00C411FE"/>
    <w:rsid w:val="00C415C1"/>
    <w:rsid w:val="00C419B2"/>
    <w:rsid w:val="00C43925"/>
    <w:rsid w:val="00C44492"/>
    <w:rsid w:val="00C44AED"/>
    <w:rsid w:val="00C4695A"/>
    <w:rsid w:val="00C46E0B"/>
    <w:rsid w:val="00C47DBF"/>
    <w:rsid w:val="00C500BE"/>
    <w:rsid w:val="00C5205C"/>
    <w:rsid w:val="00C54591"/>
    <w:rsid w:val="00C552FF"/>
    <w:rsid w:val="00C55434"/>
    <w:rsid w:val="00C558C3"/>
    <w:rsid w:val="00C558DA"/>
    <w:rsid w:val="00C55AF3"/>
    <w:rsid w:val="00C601A8"/>
    <w:rsid w:val="00C601E8"/>
    <w:rsid w:val="00C61A85"/>
    <w:rsid w:val="00C622D6"/>
    <w:rsid w:val="00C62D9E"/>
    <w:rsid w:val="00C63A46"/>
    <w:rsid w:val="00C648D9"/>
    <w:rsid w:val="00C67A5B"/>
    <w:rsid w:val="00C70061"/>
    <w:rsid w:val="00C703AA"/>
    <w:rsid w:val="00C7098C"/>
    <w:rsid w:val="00C70A38"/>
    <w:rsid w:val="00C70BB6"/>
    <w:rsid w:val="00C71422"/>
    <w:rsid w:val="00C71607"/>
    <w:rsid w:val="00C71E0C"/>
    <w:rsid w:val="00C72AA1"/>
    <w:rsid w:val="00C72C55"/>
    <w:rsid w:val="00C73DA2"/>
    <w:rsid w:val="00C73DD7"/>
    <w:rsid w:val="00C75229"/>
    <w:rsid w:val="00C769D2"/>
    <w:rsid w:val="00C771A9"/>
    <w:rsid w:val="00C7755C"/>
    <w:rsid w:val="00C80188"/>
    <w:rsid w:val="00C83C9E"/>
    <w:rsid w:val="00C83E1B"/>
    <w:rsid w:val="00C84759"/>
    <w:rsid w:val="00C8759D"/>
    <w:rsid w:val="00C9107A"/>
    <w:rsid w:val="00C9121C"/>
    <w:rsid w:val="00C93096"/>
    <w:rsid w:val="00C93DAA"/>
    <w:rsid w:val="00C9478E"/>
    <w:rsid w:val="00C94A8F"/>
    <w:rsid w:val="00C94AC4"/>
    <w:rsid w:val="00C97426"/>
    <w:rsid w:val="00CA0F8C"/>
    <w:rsid w:val="00CA136F"/>
    <w:rsid w:val="00CA4D89"/>
    <w:rsid w:val="00CA5CA9"/>
    <w:rsid w:val="00CA6BC8"/>
    <w:rsid w:val="00CA6C7F"/>
    <w:rsid w:val="00CA705A"/>
    <w:rsid w:val="00CA7E08"/>
    <w:rsid w:val="00CB0A07"/>
    <w:rsid w:val="00CB0F91"/>
    <w:rsid w:val="00CB1A46"/>
    <w:rsid w:val="00CB462B"/>
    <w:rsid w:val="00CB53A5"/>
    <w:rsid w:val="00CB60CA"/>
    <w:rsid w:val="00CB6A30"/>
    <w:rsid w:val="00CB742B"/>
    <w:rsid w:val="00CB74C7"/>
    <w:rsid w:val="00CB788B"/>
    <w:rsid w:val="00CC056B"/>
    <w:rsid w:val="00CC0FC7"/>
    <w:rsid w:val="00CC10A6"/>
    <w:rsid w:val="00CC183F"/>
    <w:rsid w:val="00CC30EB"/>
    <w:rsid w:val="00CC3B7C"/>
    <w:rsid w:val="00CC4940"/>
    <w:rsid w:val="00CC4B25"/>
    <w:rsid w:val="00CC50D2"/>
    <w:rsid w:val="00CC5360"/>
    <w:rsid w:val="00CD0594"/>
    <w:rsid w:val="00CD0737"/>
    <w:rsid w:val="00CD0EC1"/>
    <w:rsid w:val="00CD0FEA"/>
    <w:rsid w:val="00CD2D29"/>
    <w:rsid w:val="00CD31F6"/>
    <w:rsid w:val="00CD3591"/>
    <w:rsid w:val="00CD45B1"/>
    <w:rsid w:val="00CD4A35"/>
    <w:rsid w:val="00CD4B42"/>
    <w:rsid w:val="00CD59CB"/>
    <w:rsid w:val="00CD5EB8"/>
    <w:rsid w:val="00CD647C"/>
    <w:rsid w:val="00CD7044"/>
    <w:rsid w:val="00CD7128"/>
    <w:rsid w:val="00CE08B9"/>
    <w:rsid w:val="00CE1F2B"/>
    <w:rsid w:val="00CE2695"/>
    <w:rsid w:val="00CE2AE4"/>
    <w:rsid w:val="00CE3515"/>
    <w:rsid w:val="00CE524C"/>
    <w:rsid w:val="00CE530D"/>
    <w:rsid w:val="00CE729E"/>
    <w:rsid w:val="00CE78B0"/>
    <w:rsid w:val="00CF141F"/>
    <w:rsid w:val="00CF27D2"/>
    <w:rsid w:val="00CF324A"/>
    <w:rsid w:val="00CF4636"/>
    <w:rsid w:val="00CF4777"/>
    <w:rsid w:val="00CF4B21"/>
    <w:rsid w:val="00CF642A"/>
    <w:rsid w:val="00CF65C8"/>
    <w:rsid w:val="00CF65E0"/>
    <w:rsid w:val="00D00264"/>
    <w:rsid w:val="00D013F5"/>
    <w:rsid w:val="00D028B1"/>
    <w:rsid w:val="00D032C2"/>
    <w:rsid w:val="00D040C7"/>
    <w:rsid w:val="00D04667"/>
    <w:rsid w:val="00D05E3F"/>
    <w:rsid w:val="00D067BB"/>
    <w:rsid w:val="00D06D67"/>
    <w:rsid w:val="00D11D8D"/>
    <w:rsid w:val="00D12839"/>
    <w:rsid w:val="00D1289E"/>
    <w:rsid w:val="00D1352A"/>
    <w:rsid w:val="00D13A30"/>
    <w:rsid w:val="00D14220"/>
    <w:rsid w:val="00D147D7"/>
    <w:rsid w:val="00D1481A"/>
    <w:rsid w:val="00D155B8"/>
    <w:rsid w:val="00D1638E"/>
    <w:rsid w:val="00D169AF"/>
    <w:rsid w:val="00D213BF"/>
    <w:rsid w:val="00D220E4"/>
    <w:rsid w:val="00D22E9C"/>
    <w:rsid w:val="00D22EA6"/>
    <w:rsid w:val="00D230BC"/>
    <w:rsid w:val="00D231E9"/>
    <w:rsid w:val="00D23804"/>
    <w:rsid w:val="00D2395D"/>
    <w:rsid w:val="00D24E06"/>
    <w:rsid w:val="00D25175"/>
    <w:rsid w:val="00D25249"/>
    <w:rsid w:val="00D26854"/>
    <w:rsid w:val="00D300B8"/>
    <w:rsid w:val="00D301BC"/>
    <w:rsid w:val="00D312E8"/>
    <w:rsid w:val="00D31889"/>
    <w:rsid w:val="00D31B92"/>
    <w:rsid w:val="00D32478"/>
    <w:rsid w:val="00D3295E"/>
    <w:rsid w:val="00D3335E"/>
    <w:rsid w:val="00D33D9E"/>
    <w:rsid w:val="00D34638"/>
    <w:rsid w:val="00D34997"/>
    <w:rsid w:val="00D357CE"/>
    <w:rsid w:val="00D3617B"/>
    <w:rsid w:val="00D37773"/>
    <w:rsid w:val="00D379BA"/>
    <w:rsid w:val="00D40F5C"/>
    <w:rsid w:val="00D420AE"/>
    <w:rsid w:val="00D44172"/>
    <w:rsid w:val="00D45D35"/>
    <w:rsid w:val="00D47BE3"/>
    <w:rsid w:val="00D47D4F"/>
    <w:rsid w:val="00D50179"/>
    <w:rsid w:val="00D51045"/>
    <w:rsid w:val="00D519A1"/>
    <w:rsid w:val="00D51CAB"/>
    <w:rsid w:val="00D56513"/>
    <w:rsid w:val="00D60915"/>
    <w:rsid w:val="00D60F5D"/>
    <w:rsid w:val="00D61213"/>
    <w:rsid w:val="00D61D01"/>
    <w:rsid w:val="00D63087"/>
    <w:rsid w:val="00D63503"/>
    <w:rsid w:val="00D63B8C"/>
    <w:rsid w:val="00D63C1D"/>
    <w:rsid w:val="00D65F35"/>
    <w:rsid w:val="00D660E7"/>
    <w:rsid w:val="00D66335"/>
    <w:rsid w:val="00D66BDC"/>
    <w:rsid w:val="00D676DA"/>
    <w:rsid w:val="00D7083E"/>
    <w:rsid w:val="00D71FD6"/>
    <w:rsid w:val="00D72BE9"/>
    <w:rsid w:val="00D739CC"/>
    <w:rsid w:val="00D74750"/>
    <w:rsid w:val="00D765DC"/>
    <w:rsid w:val="00D773BB"/>
    <w:rsid w:val="00D7747D"/>
    <w:rsid w:val="00D779BB"/>
    <w:rsid w:val="00D806F9"/>
    <w:rsid w:val="00D8093D"/>
    <w:rsid w:val="00D8108C"/>
    <w:rsid w:val="00D812DD"/>
    <w:rsid w:val="00D828F5"/>
    <w:rsid w:val="00D837D0"/>
    <w:rsid w:val="00D83C0B"/>
    <w:rsid w:val="00D840B9"/>
    <w:rsid w:val="00D842AE"/>
    <w:rsid w:val="00D85526"/>
    <w:rsid w:val="00D86007"/>
    <w:rsid w:val="00D87172"/>
    <w:rsid w:val="00D9211C"/>
    <w:rsid w:val="00D921B4"/>
    <w:rsid w:val="00D92867"/>
    <w:rsid w:val="00D92DE0"/>
    <w:rsid w:val="00D92E5E"/>
    <w:rsid w:val="00D92FEF"/>
    <w:rsid w:val="00D93061"/>
    <w:rsid w:val="00D93152"/>
    <w:rsid w:val="00D931F9"/>
    <w:rsid w:val="00D93A0F"/>
    <w:rsid w:val="00D94EF0"/>
    <w:rsid w:val="00D96E66"/>
    <w:rsid w:val="00D97146"/>
    <w:rsid w:val="00D977F1"/>
    <w:rsid w:val="00DA0100"/>
    <w:rsid w:val="00DA0AB7"/>
    <w:rsid w:val="00DA1B21"/>
    <w:rsid w:val="00DA1BCA"/>
    <w:rsid w:val="00DA1FE7"/>
    <w:rsid w:val="00DA2601"/>
    <w:rsid w:val="00DA2E5C"/>
    <w:rsid w:val="00DA3663"/>
    <w:rsid w:val="00DA458A"/>
    <w:rsid w:val="00DA4E81"/>
    <w:rsid w:val="00DA517A"/>
    <w:rsid w:val="00DA6AB7"/>
    <w:rsid w:val="00DA7044"/>
    <w:rsid w:val="00DB0189"/>
    <w:rsid w:val="00DB07A2"/>
    <w:rsid w:val="00DB4047"/>
    <w:rsid w:val="00DB409A"/>
    <w:rsid w:val="00DB4126"/>
    <w:rsid w:val="00DB5AE9"/>
    <w:rsid w:val="00DC0AFC"/>
    <w:rsid w:val="00DC171A"/>
    <w:rsid w:val="00DC1F91"/>
    <w:rsid w:val="00DC229E"/>
    <w:rsid w:val="00DC22DC"/>
    <w:rsid w:val="00DC2CA5"/>
    <w:rsid w:val="00DC33AF"/>
    <w:rsid w:val="00DC4005"/>
    <w:rsid w:val="00DC46FF"/>
    <w:rsid w:val="00DC48D8"/>
    <w:rsid w:val="00DC5254"/>
    <w:rsid w:val="00DC569D"/>
    <w:rsid w:val="00DC70E9"/>
    <w:rsid w:val="00DC7E4B"/>
    <w:rsid w:val="00DD0029"/>
    <w:rsid w:val="00DD0412"/>
    <w:rsid w:val="00DD1153"/>
    <w:rsid w:val="00DD1A4F"/>
    <w:rsid w:val="00DD2ACD"/>
    <w:rsid w:val="00DD2D0F"/>
    <w:rsid w:val="00DD3107"/>
    <w:rsid w:val="00DD4D62"/>
    <w:rsid w:val="00DD622C"/>
    <w:rsid w:val="00DD6490"/>
    <w:rsid w:val="00DD6D51"/>
    <w:rsid w:val="00DD77EC"/>
    <w:rsid w:val="00DD7C2C"/>
    <w:rsid w:val="00DE2074"/>
    <w:rsid w:val="00DE2223"/>
    <w:rsid w:val="00DE25F4"/>
    <w:rsid w:val="00DE3C25"/>
    <w:rsid w:val="00DE4055"/>
    <w:rsid w:val="00DE4475"/>
    <w:rsid w:val="00DE5BDA"/>
    <w:rsid w:val="00DE7099"/>
    <w:rsid w:val="00DE7FFB"/>
    <w:rsid w:val="00DF055E"/>
    <w:rsid w:val="00DF0D3D"/>
    <w:rsid w:val="00DF108E"/>
    <w:rsid w:val="00DF27AA"/>
    <w:rsid w:val="00DF37F4"/>
    <w:rsid w:val="00DF40E8"/>
    <w:rsid w:val="00DF433C"/>
    <w:rsid w:val="00DF519F"/>
    <w:rsid w:val="00DF5749"/>
    <w:rsid w:val="00DF6492"/>
    <w:rsid w:val="00DF66D4"/>
    <w:rsid w:val="00DF6912"/>
    <w:rsid w:val="00DF7EB0"/>
    <w:rsid w:val="00E0035A"/>
    <w:rsid w:val="00E00861"/>
    <w:rsid w:val="00E01A9A"/>
    <w:rsid w:val="00E035E3"/>
    <w:rsid w:val="00E0411C"/>
    <w:rsid w:val="00E043D6"/>
    <w:rsid w:val="00E04814"/>
    <w:rsid w:val="00E05A0E"/>
    <w:rsid w:val="00E06797"/>
    <w:rsid w:val="00E06A93"/>
    <w:rsid w:val="00E072F7"/>
    <w:rsid w:val="00E115F9"/>
    <w:rsid w:val="00E1265B"/>
    <w:rsid w:val="00E12E09"/>
    <w:rsid w:val="00E133B8"/>
    <w:rsid w:val="00E13AFE"/>
    <w:rsid w:val="00E13B48"/>
    <w:rsid w:val="00E1404F"/>
    <w:rsid w:val="00E150E2"/>
    <w:rsid w:val="00E17AF8"/>
    <w:rsid w:val="00E20711"/>
    <w:rsid w:val="00E20AF2"/>
    <w:rsid w:val="00E210D6"/>
    <w:rsid w:val="00E21C83"/>
    <w:rsid w:val="00E21CCD"/>
    <w:rsid w:val="00E2212D"/>
    <w:rsid w:val="00E24693"/>
    <w:rsid w:val="00E24ADA"/>
    <w:rsid w:val="00E26876"/>
    <w:rsid w:val="00E30768"/>
    <w:rsid w:val="00E3083F"/>
    <w:rsid w:val="00E30AB3"/>
    <w:rsid w:val="00E30EAC"/>
    <w:rsid w:val="00E32F59"/>
    <w:rsid w:val="00E35652"/>
    <w:rsid w:val="00E35F07"/>
    <w:rsid w:val="00E36605"/>
    <w:rsid w:val="00E36DB6"/>
    <w:rsid w:val="00E36DCB"/>
    <w:rsid w:val="00E37AE6"/>
    <w:rsid w:val="00E41908"/>
    <w:rsid w:val="00E41CE8"/>
    <w:rsid w:val="00E439FE"/>
    <w:rsid w:val="00E4456C"/>
    <w:rsid w:val="00E445EE"/>
    <w:rsid w:val="00E46BCD"/>
    <w:rsid w:val="00E46D9A"/>
    <w:rsid w:val="00E50D32"/>
    <w:rsid w:val="00E52EA0"/>
    <w:rsid w:val="00E52F27"/>
    <w:rsid w:val="00E54E85"/>
    <w:rsid w:val="00E5512B"/>
    <w:rsid w:val="00E55ED8"/>
    <w:rsid w:val="00E565FF"/>
    <w:rsid w:val="00E57176"/>
    <w:rsid w:val="00E60B20"/>
    <w:rsid w:val="00E61350"/>
    <w:rsid w:val="00E613E2"/>
    <w:rsid w:val="00E619EE"/>
    <w:rsid w:val="00E62964"/>
    <w:rsid w:val="00E634DC"/>
    <w:rsid w:val="00E63BD4"/>
    <w:rsid w:val="00E65388"/>
    <w:rsid w:val="00E65D5C"/>
    <w:rsid w:val="00E66474"/>
    <w:rsid w:val="00E66A2C"/>
    <w:rsid w:val="00E709E2"/>
    <w:rsid w:val="00E70ADA"/>
    <w:rsid w:val="00E7126C"/>
    <w:rsid w:val="00E71E1F"/>
    <w:rsid w:val="00E72B4A"/>
    <w:rsid w:val="00E74F94"/>
    <w:rsid w:val="00E7633A"/>
    <w:rsid w:val="00E76498"/>
    <w:rsid w:val="00E7741D"/>
    <w:rsid w:val="00E807D9"/>
    <w:rsid w:val="00E808CD"/>
    <w:rsid w:val="00E81510"/>
    <w:rsid w:val="00E81A48"/>
    <w:rsid w:val="00E8281C"/>
    <w:rsid w:val="00E82BA1"/>
    <w:rsid w:val="00E8348F"/>
    <w:rsid w:val="00E84530"/>
    <w:rsid w:val="00E85B7D"/>
    <w:rsid w:val="00E86319"/>
    <w:rsid w:val="00E86CBF"/>
    <w:rsid w:val="00E9107C"/>
    <w:rsid w:val="00E91133"/>
    <w:rsid w:val="00E9121B"/>
    <w:rsid w:val="00E91398"/>
    <w:rsid w:val="00E9302E"/>
    <w:rsid w:val="00E9334D"/>
    <w:rsid w:val="00E93A6C"/>
    <w:rsid w:val="00E93D59"/>
    <w:rsid w:val="00E976AB"/>
    <w:rsid w:val="00EA0AE2"/>
    <w:rsid w:val="00EA1A43"/>
    <w:rsid w:val="00EA2BD8"/>
    <w:rsid w:val="00EA2E25"/>
    <w:rsid w:val="00EA39E5"/>
    <w:rsid w:val="00EA3E22"/>
    <w:rsid w:val="00EA5023"/>
    <w:rsid w:val="00EA57A3"/>
    <w:rsid w:val="00EA5CE4"/>
    <w:rsid w:val="00EA668D"/>
    <w:rsid w:val="00EB11D1"/>
    <w:rsid w:val="00EB23E0"/>
    <w:rsid w:val="00EB2974"/>
    <w:rsid w:val="00EB5ABD"/>
    <w:rsid w:val="00EB5C81"/>
    <w:rsid w:val="00EB63BC"/>
    <w:rsid w:val="00EB6462"/>
    <w:rsid w:val="00EB646C"/>
    <w:rsid w:val="00EB79E2"/>
    <w:rsid w:val="00EC0275"/>
    <w:rsid w:val="00EC0A12"/>
    <w:rsid w:val="00EC0A72"/>
    <w:rsid w:val="00EC1068"/>
    <w:rsid w:val="00EC1105"/>
    <w:rsid w:val="00EC27A6"/>
    <w:rsid w:val="00EC2813"/>
    <w:rsid w:val="00EC2F1F"/>
    <w:rsid w:val="00EC2F4A"/>
    <w:rsid w:val="00EC3443"/>
    <w:rsid w:val="00EC3758"/>
    <w:rsid w:val="00EC4514"/>
    <w:rsid w:val="00EC581A"/>
    <w:rsid w:val="00EC5A46"/>
    <w:rsid w:val="00EC63E2"/>
    <w:rsid w:val="00EC65F2"/>
    <w:rsid w:val="00EC6668"/>
    <w:rsid w:val="00EC6C6F"/>
    <w:rsid w:val="00EC6FAD"/>
    <w:rsid w:val="00ED0225"/>
    <w:rsid w:val="00ED1119"/>
    <w:rsid w:val="00ED19FB"/>
    <w:rsid w:val="00ED366A"/>
    <w:rsid w:val="00ED39AF"/>
    <w:rsid w:val="00ED499C"/>
    <w:rsid w:val="00ED666A"/>
    <w:rsid w:val="00ED6BB7"/>
    <w:rsid w:val="00EE29B8"/>
    <w:rsid w:val="00EF02D2"/>
    <w:rsid w:val="00EF0ACA"/>
    <w:rsid w:val="00EF1D21"/>
    <w:rsid w:val="00EF22B3"/>
    <w:rsid w:val="00EF2767"/>
    <w:rsid w:val="00EF291C"/>
    <w:rsid w:val="00EF2BFD"/>
    <w:rsid w:val="00EF3115"/>
    <w:rsid w:val="00EF3A4B"/>
    <w:rsid w:val="00EF432F"/>
    <w:rsid w:val="00EF4523"/>
    <w:rsid w:val="00EF70CF"/>
    <w:rsid w:val="00EF7F1B"/>
    <w:rsid w:val="00F0235F"/>
    <w:rsid w:val="00F03B69"/>
    <w:rsid w:val="00F04932"/>
    <w:rsid w:val="00F05E2C"/>
    <w:rsid w:val="00F064C5"/>
    <w:rsid w:val="00F070A7"/>
    <w:rsid w:val="00F076A5"/>
    <w:rsid w:val="00F07A50"/>
    <w:rsid w:val="00F113DA"/>
    <w:rsid w:val="00F120E7"/>
    <w:rsid w:val="00F1247A"/>
    <w:rsid w:val="00F1250A"/>
    <w:rsid w:val="00F12D9E"/>
    <w:rsid w:val="00F1316D"/>
    <w:rsid w:val="00F142C9"/>
    <w:rsid w:val="00F14636"/>
    <w:rsid w:val="00F15384"/>
    <w:rsid w:val="00F158E9"/>
    <w:rsid w:val="00F179E9"/>
    <w:rsid w:val="00F17BC1"/>
    <w:rsid w:val="00F20520"/>
    <w:rsid w:val="00F21D3B"/>
    <w:rsid w:val="00F22AE7"/>
    <w:rsid w:val="00F24BFD"/>
    <w:rsid w:val="00F258FD"/>
    <w:rsid w:val="00F26070"/>
    <w:rsid w:val="00F266FC"/>
    <w:rsid w:val="00F27061"/>
    <w:rsid w:val="00F27164"/>
    <w:rsid w:val="00F27969"/>
    <w:rsid w:val="00F3037A"/>
    <w:rsid w:val="00F3065C"/>
    <w:rsid w:val="00F32136"/>
    <w:rsid w:val="00F3294B"/>
    <w:rsid w:val="00F33DB7"/>
    <w:rsid w:val="00F3465A"/>
    <w:rsid w:val="00F35DEF"/>
    <w:rsid w:val="00F36285"/>
    <w:rsid w:val="00F36BA3"/>
    <w:rsid w:val="00F37A24"/>
    <w:rsid w:val="00F37DC8"/>
    <w:rsid w:val="00F400F3"/>
    <w:rsid w:val="00F42151"/>
    <w:rsid w:val="00F431B4"/>
    <w:rsid w:val="00F439B3"/>
    <w:rsid w:val="00F444C1"/>
    <w:rsid w:val="00F447A2"/>
    <w:rsid w:val="00F449DA"/>
    <w:rsid w:val="00F44A42"/>
    <w:rsid w:val="00F44BFA"/>
    <w:rsid w:val="00F45B5D"/>
    <w:rsid w:val="00F47C3D"/>
    <w:rsid w:val="00F50592"/>
    <w:rsid w:val="00F52E57"/>
    <w:rsid w:val="00F5361E"/>
    <w:rsid w:val="00F5483A"/>
    <w:rsid w:val="00F553B1"/>
    <w:rsid w:val="00F5791D"/>
    <w:rsid w:val="00F601B8"/>
    <w:rsid w:val="00F6024A"/>
    <w:rsid w:val="00F60EA4"/>
    <w:rsid w:val="00F61168"/>
    <w:rsid w:val="00F6116F"/>
    <w:rsid w:val="00F61FA2"/>
    <w:rsid w:val="00F62C68"/>
    <w:rsid w:val="00F650C3"/>
    <w:rsid w:val="00F65CEC"/>
    <w:rsid w:val="00F65D85"/>
    <w:rsid w:val="00F6666F"/>
    <w:rsid w:val="00F6700B"/>
    <w:rsid w:val="00F704AA"/>
    <w:rsid w:val="00F7137B"/>
    <w:rsid w:val="00F72798"/>
    <w:rsid w:val="00F72F54"/>
    <w:rsid w:val="00F7386C"/>
    <w:rsid w:val="00F73B55"/>
    <w:rsid w:val="00F8091E"/>
    <w:rsid w:val="00F819F8"/>
    <w:rsid w:val="00F83937"/>
    <w:rsid w:val="00F854C6"/>
    <w:rsid w:val="00F85F1D"/>
    <w:rsid w:val="00F8615C"/>
    <w:rsid w:val="00F86369"/>
    <w:rsid w:val="00F910D8"/>
    <w:rsid w:val="00F922C6"/>
    <w:rsid w:val="00F92DC9"/>
    <w:rsid w:val="00F9457C"/>
    <w:rsid w:val="00F969E5"/>
    <w:rsid w:val="00FA0CE2"/>
    <w:rsid w:val="00FA461B"/>
    <w:rsid w:val="00FA4907"/>
    <w:rsid w:val="00FA4972"/>
    <w:rsid w:val="00FA6BB0"/>
    <w:rsid w:val="00FB03CC"/>
    <w:rsid w:val="00FB0A32"/>
    <w:rsid w:val="00FB15EC"/>
    <w:rsid w:val="00FB2626"/>
    <w:rsid w:val="00FB2DBD"/>
    <w:rsid w:val="00FB3CF2"/>
    <w:rsid w:val="00FB47C7"/>
    <w:rsid w:val="00FB5B60"/>
    <w:rsid w:val="00FB6F7C"/>
    <w:rsid w:val="00FB7178"/>
    <w:rsid w:val="00FB7C8C"/>
    <w:rsid w:val="00FC2271"/>
    <w:rsid w:val="00FC2C1C"/>
    <w:rsid w:val="00FC2D6C"/>
    <w:rsid w:val="00FC405A"/>
    <w:rsid w:val="00FC5CEE"/>
    <w:rsid w:val="00FC62BA"/>
    <w:rsid w:val="00FC63B0"/>
    <w:rsid w:val="00FD0B00"/>
    <w:rsid w:val="00FD0F67"/>
    <w:rsid w:val="00FD1787"/>
    <w:rsid w:val="00FD27BC"/>
    <w:rsid w:val="00FD2820"/>
    <w:rsid w:val="00FD286F"/>
    <w:rsid w:val="00FD3340"/>
    <w:rsid w:val="00FD365F"/>
    <w:rsid w:val="00FD48DF"/>
    <w:rsid w:val="00FD5860"/>
    <w:rsid w:val="00FD591A"/>
    <w:rsid w:val="00FD5A29"/>
    <w:rsid w:val="00FD7D02"/>
    <w:rsid w:val="00FE193F"/>
    <w:rsid w:val="00FE28A8"/>
    <w:rsid w:val="00FE352D"/>
    <w:rsid w:val="00FE40EB"/>
    <w:rsid w:val="00FE4C8C"/>
    <w:rsid w:val="00FE4D02"/>
    <w:rsid w:val="00FE530D"/>
    <w:rsid w:val="00FE6A6F"/>
    <w:rsid w:val="00FE6C25"/>
    <w:rsid w:val="00FE7D62"/>
    <w:rsid w:val="00FF1C64"/>
    <w:rsid w:val="00FF311B"/>
    <w:rsid w:val="00FF3819"/>
    <w:rsid w:val="00FF4174"/>
    <w:rsid w:val="00FF46FC"/>
    <w:rsid w:val="00FF4E2D"/>
    <w:rsid w:val="00FF5176"/>
    <w:rsid w:val="00FF55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06B4B"/>
  <w15:docId w15:val="{0CED5DA5-2F7F-4665-BC74-16C52E7A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2858"/>
    <w:pPr>
      <w:tabs>
        <w:tab w:val="left" w:pos="1247"/>
        <w:tab w:val="left" w:pos="1814"/>
        <w:tab w:val="left" w:pos="2381"/>
        <w:tab w:val="left" w:pos="2948"/>
        <w:tab w:val="left" w:pos="3515"/>
      </w:tabs>
    </w:pPr>
    <w:rPr>
      <w:lang w:val="fr-FR" w:eastAsia="en-US"/>
    </w:rPr>
  </w:style>
  <w:style w:type="paragraph" w:styleId="Heading1">
    <w:name w:val="heading 1"/>
    <w:basedOn w:val="Normal"/>
    <w:next w:val="Normalnumber"/>
    <w:link w:val="Heading1Char"/>
    <w:qFormat/>
    <w:rsid w:val="00B42858"/>
    <w:pPr>
      <w:keepNext/>
      <w:spacing w:before="240" w:after="120"/>
      <w:ind w:left="1247" w:hanging="680"/>
      <w:outlineLvl w:val="0"/>
    </w:pPr>
    <w:rPr>
      <w:b/>
      <w:sz w:val="28"/>
    </w:rPr>
  </w:style>
  <w:style w:type="paragraph" w:styleId="Heading2">
    <w:name w:val="heading 2"/>
    <w:basedOn w:val="Normal"/>
    <w:next w:val="Normalnumber"/>
    <w:link w:val="Heading2Char"/>
    <w:qFormat/>
    <w:rsid w:val="00B42858"/>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B42858"/>
    <w:pPr>
      <w:spacing w:after="120"/>
      <w:ind w:left="1247" w:hanging="680"/>
      <w:outlineLvl w:val="2"/>
    </w:pPr>
    <w:rPr>
      <w:b/>
    </w:rPr>
  </w:style>
  <w:style w:type="paragraph" w:styleId="Heading4">
    <w:name w:val="heading 4"/>
    <w:basedOn w:val="Heading3"/>
    <w:next w:val="Normalnumber"/>
    <w:link w:val="Heading4Char"/>
    <w:qFormat/>
    <w:rsid w:val="00B42858"/>
    <w:pPr>
      <w:keepNext/>
      <w:outlineLvl w:val="3"/>
    </w:pPr>
  </w:style>
  <w:style w:type="paragraph" w:styleId="Heading5">
    <w:name w:val="heading 5"/>
    <w:basedOn w:val="Normal"/>
    <w:next w:val="Normal"/>
    <w:link w:val="Heading5Char"/>
    <w:qFormat/>
    <w:rsid w:val="00B42858"/>
    <w:pPr>
      <w:keepNext/>
      <w:outlineLvl w:val="4"/>
    </w:pPr>
    <w:rPr>
      <w:rFonts w:ascii="Univers" w:hAnsi="Univers"/>
      <w:b/>
      <w:sz w:val="24"/>
    </w:rPr>
  </w:style>
  <w:style w:type="paragraph" w:styleId="Heading6">
    <w:name w:val="heading 6"/>
    <w:basedOn w:val="Normal"/>
    <w:next w:val="Normal"/>
    <w:link w:val="Heading6Char"/>
    <w:qFormat/>
    <w:rsid w:val="00B42858"/>
    <w:pPr>
      <w:keepNext/>
      <w:ind w:left="578"/>
      <w:outlineLvl w:val="5"/>
    </w:pPr>
    <w:rPr>
      <w:b/>
      <w:bCs/>
      <w:sz w:val="24"/>
    </w:rPr>
  </w:style>
  <w:style w:type="paragraph" w:styleId="Heading7">
    <w:name w:val="heading 7"/>
    <w:basedOn w:val="Normal"/>
    <w:next w:val="Normal"/>
    <w:link w:val="Heading7Char"/>
    <w:qFormat/>
    <w:rsid w:val="00B42858"/>
    <w:pPr>
      <w:keepNext/>
      <w:widowControl w:val="0"/>
      <w:jc w:val="center"/>
      <w:outlineLvl w:val="6"/>
    </w:pPr>
    <w:rPr>
      <w:snapToGrid w:val="0"/>
      <w:u w:val="single"/>
      <w:lang w:val="en-US"/>
    </w:rPr>
  </w:style>
  <w:style w:type="paragraph" w:styleId="Heading8">
    <w:name w:val="heading 8"/>
    <w:basedOn w:val="Normal"/>
    <w:next w:val="Normal"/>
    <w:link w:val="Heading8Char"/>
    <w:qFormat/>
    <w:rsid w:val="00B42858"/>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B42858"/>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B42858"/>
    <w:rPr>
      <w:rFonts w:ascii="Times New Roman" w:hAnsi="Times New Roman"/>
      <w:b/>
      <w:sz w:val="18"/>
    </w:rPr>
  </w:style>
  <w:style w:type="table" w:customStyle="1" w:styleId="Tabledocright">
    <w:name w:val="Table_doc_right"/>
    <w:basedOn w:val="TableNormal"/>
    <w:rsid w:val="00B42858"/>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uiPriority w:val="39"/>
    <w:rsid w:val="00B42858"/>
    <w:pPr>
      <w:tabs>
        <w:tab w:val="clear" w:pos="1814"/>
        <w:tab w:val="clear" w:pos="2381"/>
        <w:tab w:val="clear" w:pos="2948"/>
        <w:tab w:val="clear" w:pos="3515"/>
      </w:tabs>
      <w:ind w:left="1000"/>
    </w:pPr>
    <w:rPr>
      <w:sz w:val="18"/>
      <w:szCs w:val="18"/>
    </w:rPr>
  </w:style>
  <w:style w:type="paragraph" w:styleId="TOC7">
    <w:name w:val="toc 7"/>
    <w:basedOn w:val="Normal"/>
    <w:next w:val="Normal"/>
    <w:autoRedefine/>
    <w:uiPriority w:val="39"/>
    <w:rsid w:val="00B42858"/>
    <w:pPr>
      <w:tabs>
        <w:tab w:val="clear" w:pos="1814"/>
        <w:tab w:val="clear" w:pos="2381"/>
        <w:tab w:val="clear" w:pos="2948"/>
        <w:tab w:val="clear" w:pos="3515"/>
      </w:tabs>
      <w:ind w:left="1200"/>
    </w:pPr>
    <w:rPr>
      <w:sz w:val="18"/>
      <w:szCs w:val="18"/>
    </w:rPr>
  </w:style>
  <w:style w:type="paragraph" w:styleId="TOC8">
    <w:name w:val="toc 8"/>
    <w:basedOn w:val="Normal"/>
    <w:next w:val="Normal"/>
    <w:autoRedefine/>
    <w:uiPriority w:val="39"/>
    <w:rsid w:val="00B42858"/>
    <w:pPr>
      <w:tabs>
        <w:tab w:val="clear" w:pos="1814"/>
        <w:tab w:val="clear" w:pos="2381"/>
        <w:tab w:val="clear" w:pos="2948"/>
        <w:tab w:val="clear" w:pos="3515"/>
      </w:tabs>
      <w:ind w:left="1400"/>
    </w:pPr>
    <w:rPr>
      <w:sz w:val="18"/>
      <w:szCs w:val="18"/>
    </w:rPr>
  </w:style>
  <w:style w:type="paragraph" w:styleId="TOC9">
    <w:name w:val="toc 9"/>
    <w:basedOn w:val="Normal"/>
    <w:next w:val="Normal"/>
    <w:autoRedefine/>
    <w:uiPriority w:val="39"/>
    <w:rsid w:val="00B42858"/>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B42858"/>
    <w:rPr>
      <w:bCs w:val="0"/>
    </w:rPr>
  </w:style>
  <w:style w:type="paragraph" w:styleId="TableofFigures">
    <w:name w:val="table of figures"/>
    <w:basedOn w:val="Normal"/>
    <w:next w:val="Normal"/>
    <w:autoRedefine/>
    <w:semiHidden/>
    <w:rsid w:val="00B42858"/>
    <w:pPr>
      <w:tabs>
        <w:tab w:val="clear" w:pos="1814"/>
        <w:tab w:val="clear" w:pos="2381"/>
        <w:tab w:val="clear" w:pos="2948"/>
        <w:tab w:val="clear" w:pos="3515"/>
      </w:tabs>
      <w:ind w:left="1814" w:hanging="567"/>
    </w:pPr>
  </w:style>
  <w:style w:type="paragraph" w:customStyle="1" w:styleId="CH1">
    <w:name w:val="CH1"/>
    <w:basedOn w:val="Normalpool"/>
    <w:next w:val="CH2"/>
    <w:rsid w:val="00B42858"/>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B42858"/>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B42858"/>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B42858"/>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B42858"/>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B42858"/>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B42858"/>
    <w:pPr>
      <w:tabs>
        <w:tab w:val="left" w:pos="4321"/>
        <w:tab w:val="right" w:pos="8641"/>
      </w:tabs>
      <w:spacing w:before="60" w:after="120"/>
    </w:pPr>
    <w:rPr>
      <w:b/>
      <w:sz w:val="18"/>
    </w:rPr>
  </w:style>
  <w:style w:type="paragraph" w:customStyle="1" w:styleId="Headerpool">
    <w:name w:val="Header_pool"/>
    <w:basedOn w:val="Normal"/>
    <w:next w:val="Normal"/>
    <w:semiHidden/>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link w:val="NormalpoolChar"/>
    <w:autoRedefine/>
    <w:rsid w:val="00B42858"/>
    <w:pPr>
      <w:tabs>
        <w:tab w:val="left" w:pos="1247"/>
        <w:tab w:val="left" w:pos="1814"/>
        <w:tab w:val="left" w:pos="2381"/>
        <w:tab w:val="left" w:pos="2948"/>
        <w:tab w:val="left" w:pos="3515"/>
        <w:tab w:val="left" w:pos="4082"/>
      </w:tabs>
    </w:pPr>
    <w:rPr>
      <w:lang w:val="fr-CA" w:eastAsia="en-US"/>
    </w:rPr>
  </w:style>
  <w:style w:type="paragraph" w:customStyle="1" w:styleId="Footer-pool">
    <w:name w:val="Footer-pool"/>
    <w:basedOn w:val="Normal-pool"/>
    <w:next w:val="Normal-pool"/>
    <w:rsid w:val="00B42858"/>
    <w:pPr>
      <w:tabs>
        <w:tab w:val="left" w:pos="4321"/>
        <w:tab w:val="right" w:pos="8641"/>
      </w:tabs>
      <w:spacing w:before="60" w:after="120"/>
    </w:pPr>
    <w:rPr>
      <w:b/>
      <w:sz w:val="18"/>
    </w:rPr>
  </w:style>
  <w:style w:type="paragraph" w:customStyle="1" w:styleId="Header-pool">
    <w:name w:val="Header-pool"/>
    <w:basedOn w:val="Normal-pool"/>
    <w:next w:val="Normal-pool"/>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B42858"/>
    <w:pPr>
      <w:tabs>
        <w:tab w:val="left" w:pos="1247"/>
        <w:tab w:val="left" w:pos="1814"/>
        <w:tab w:val="left" w:pos="2381"/>
        <w:tab w:val="left" w:pos="2948"/>
        <w:tab w:val="left" w:pos="3515"/>
        <w:tab w:val="left" w:pos="4082"/>
      </w:tabs>
    </w:pPr>
    <w:rPr>
      <w:lang w:val="fr-CA" w:eastAsia="en-US"/>
    </w:rPr>
  </w:style>
  <w:style w:type="character" w:styleId="FootnoteReference">
    <w:name w:val="footnote reference"/>
    <w:aliases w:val="16 Point,Superscript 6 Point,ftref,(Ref. de nota al pie),number,SUPERS,Footnote Reference Superscript"/>
    <w:link w:val="BVIfnrCharCharCharChar"/>
    <w:rsid w:val="00B42858"/>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93"/>
    <w:basedOn w:val="Normalpool"/>
    <w:link w:val="FootnoteTextChar"/>
    <w:rsid w:val="00B42858"/>
    <w:pPr>
      <w:spacing w:before="20" w:after="40"/>
      <w:ind w:left="1247"/>
    </w:pPr>
    <w:rPr>
      <w:sz w:val="18"/>
    </w:rPr>
  </w:style>
  <w:style w:type="character" w:styleId="CommentReference">
    <w:name w:val="annotation reference"/>
    <w:uiPriority w:val="99"/>
    <w:rsid w:val="003929B8"/>
    <w:rPr>
      <w:sz w:val="16"/>
      <w:szCs w:val="16"/>
    </w:rPr>
  </w:style>
  <w:style w:type="paragraph" w:styleId="CommentText">
    <w:name w:val="annotation text"/>
    <w:basedOn w:val="Normal"/>
    <w:link w:val="CommentTextChar"/>
    <w:uiPriority w:val="99"/>
    <w:rsid w:val="003929B8"/>
  </w:style>
  <w:style w:type="character" w:customStyle="1" w:styleId="CommentTextChar">
    <w:name w:val="Comment Text Char"/>
    <w:link w:val="CommentText"/>
    <w:uiPriority w:val="99"/>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CA" w:eastAsia="en-US"/>
    </w:rPr>
  </w:style>
  <w:style w:type="table" w:styleId="TableGrid">
    <w:name w:val="Table Grid"/>
    <w:basedOn w:val="TableNormal"/>
    <w:uiPriority w:val="59"/>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4A24F9"/>
    <w:pPr>
      <w:ind w:left="720"/>
    </w:pPr>
  </w:style>
  <w:style w:type="table" w:customStyle="1" w:styleId="AATable">
    <w:name w:val="AA_Table"/>
    <w:basedOn w:val="TableNormal"/>
    <w:rsid w:val="00B42858"/>
    <w:rPr>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B42858"/>
    <w:pPr>
      <w:keepNext/>
      <w:keepLines/>
      <w:suppressAutoHyphens/>
      <w:ind w:right="5103"/>
    </w:pPr>
    <w:rPr>
      <w:b/>
    </w:rPr>
  </w:style>
  <w:style w:type="paragraph" w:customStyle="1" w:styleId="AATitle2">
    <w:name w:val="AA_Title2"/>
    <w:basedOn w:val="AATitle"/>
    <w:rsid w:val="00B42858"/>
    <w:pPr>
      <w:tabs>
        <w:tab w:val="clear" w:pos="4082"/>
      </w:tabs>
      <w:spacing w:before="120" w:after="120"/>
      <w:ind w:right="4536"/>
    </w:pPr>
  </w:style>
  <w:style w:type="paragraph" w:customStyle="1" w:styleId="BBTitle">
    <w:name w:val="BB_Title"/>
    <w:basedOn w:val="Normalpool"/>
    <w:link w:val="BBTitleChar"/>
    <w:rsid w:val="00B42858"/>
    <w:pPr>
      <w:keepNext/>
      <w:keepLines/>
      <w:suppressAutoHyphens/>
      <w:spacing w:before="320" w:after="240"/>
      <w:ind w:left="1247" w:right="567"/>
    </w:pPr>
    <w:rPr>
      <w:b/>
      <w:sz w:val="28"/>
      <w:szCs w:val="28"/>
    </w:rPr>
  </w:style>
  <w:style w:type="paragraph" w:styleId="Footer">
    <w:name w:val="footer"/>
    <w:basedOn w:val="Normal"/>
    <w:link w:val="FooterChar"/>
    <w:rsid w:val="00B42858"/>
    <w:pPr>
      <w:tabs>
        <w:tab w:val="center" w:pos="4320"/>
        <w:tab w:val="right" w:pos="8640"/>
      </w:tabs>
      <w:spacing w:before="60" w:after="120"/>
    </w:pPr>
    <w:rPr>
      <w:sz w:val="18"/>
    </w:rPr>
  </w:style>
  <w:style w:type="paragraph" w:styleId="Header">
    <w:name w:val="header"/>
    <w:basedOn w:val="Normal"/>
    <w:link w:val="HeaderChar"/>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B42858"/>
    <w:rPr>
      <w:rFonts w:ascii="Times New Roman" w:hAnsi="Times New Roman"/>
      <w:color w:val="auto"/>
      <w:sz w:val="20"/>
      <w:szCs w:val="20"/>
      <w:u w:val="none"/>
      <w:lang w:val="fr-FR"/>
    </w:rPr>
  </w:style>
  <w:style w:type="numbering" w:customStyle="1" w:styleId="Normallist">
    <w:name w:val="Normal_list"/>
    <w:basedOn w:val="NoList"/>
    <w:rsid w:val="00B42858"/>
    <w:pPr>
      <w:numPr>
        <w:numId w:val="4"/>
      </w:numPr>
    </w:pPr>
  </w:style>
  <w:style w:type="paragraph" w:customStyle="1" w:styleId="NormalNonumber">
    <w:name w:val="Normal_No_number"/>
    <w:basedOn w:val="Normalpool"/>
    <w:link w:val="NormalNonumberChar"/>
    <w:rsid w:val="00B42858"/>
    <w:pPr>
      <w:spacing w:after="120"/>
      <w:ind w:left="1247"/>
    </w:pPr>
  </w:style>
  <w:style w:type="paragraph" w:customStyle="1" w:styleId="Normalnumber">
    <w:name w:val="Normal_number"/>
    <w:basedOn w:val="Normalpool"/>
    <w:link w:val="NormalnumberChar"/>
    <w:rsid w:val="00F9457C"/>
    <w:pPr>
      <w:numPr>
        <w:numId w:val="1"/>
      </w:numPr>
      <w:tabs>
        <w:tab w:val="clear" w:pos="3515"/>
      </w:tabs>
      <w:spacing w:after="120"/>
    </w:pPr>
    <w:rPr>
      <w:lang w:val="fr-FR"/>
    </w:rPr>
  </w:style>
  <w:style w:type="paragraph" w:customStyle="1" w:styleId="Titletable">
    <w:name w:val="Title_table"/>
    <w:basedOn w:val="Normalpool"/>
    <w:rsid w:val="00B42858"/>
    <w:pPr>
      <w:keepNext/>
      <w:keepLines/>
      <w:suppressAutoHyphens/>
      <w:spacing w:after="60"/>
      <w:ind w:left="1247"/>
    </w:pPr>
    <w:rPr>
      <w:b/>
      <w:bCs/>
    </w:rPr>
  </w:style>
  <w:style w:type="paragraph" w:styleId="TOC1">
    <w:name w:val="toc 1"/>
    <w:basedOn w:val="Normalpool"/>
    <w:next w:val="Normalpool"/>
    <w:uiPriority w:val="39"/>
    <w:rsid w:val="00B42858"/>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B42858"/>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B42858"/>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39"/>
    <w:rsid w:val="00B42858"/>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uiPriority w:val="39"/>
    <w:rsid w:val="00B42858"/>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B42858"/>
    <w:rPr>
      <w:b/>
      <w:bCs/>
      <w:sz w:val="28"/>
      <w:szCs w:val="22"/>
    </w:rPr>
  </w:style>
  <w:style w:type="paragraph" w:customStyle="1" w:styleId="ZZAnxtitle">
    <w:name w:val="ZZ_Anx_title"/>
    <w:basedOn w:val="Normalpool"/>
    <w:link w:val="ZZAnxtitleChar"/>
    <w:rsid w:val="00B42858"/>
    <w:pPr>
      <w:spacing w:before="360" w:after="120"/>
      <w:ind w:left="1247"/>
    </w:pPr>
    <w:rPr>
      <w:b/>
      <w:bCs/>
      <w:sz w:val="28"/>
      <w:szCs w:val="26"/>
    </w:rPr>
  </w:style>
  <w:style w:type="paragraph" w:styleId="Revision">
    <w:name w:val="Revision"/>
    <w:hidden/>
    <w:uiPriority w:val="99"/>
    <w:semiHidden/>
    <w:rsid w:val="00D806F9"/>
    <w:rPr>
      <w:lang w:eastAsia="en-US"/>
    </w:rPr>
  </w:style>
  <w:style w:type="character" w:styleId="Emphasis">
    <w:name w:val="Emphasis"/>
    <w:basedOn w:val="DefaultParagraphFont"/>
    <w:uiPriority w:val="20"/>
    <w:qFormat/>
    <w:rsid w:val="00155A2F"/>
    <w:rPr>
      <w:i/>
      <w:iCs/>
    </w:rPr>
  </w:style>
  <w:style w:type="character" w:customStyle="1" w:styleId="Normal-poolChar">
    <w:name w:val="Normal-pool Char"/>
    <w:link w:val="Normal-pool"/>
    <w:rsid w:val="008228B5"/>
    <w:rPr>
      <w:lang w:val="fr-CA" w:eastAsia="en-US"/>
    </w:rPr>
  </w:style>
  <w:style w:type="character" w:customStyle="1" w:styleId="ZZAnxheaderChar">
    <w:name w:val="ZZ_Anx_header Char"/>
    <w:link w:val="ZZAnxheader"/>
    <w:rsid w:val="008228B5"/>
    <w:rPr>
      <w:b/>
      <w:bCs/>
      <w:sz w:val="28"/>
      <w:szCs w:val="22"/>
      <w:lang w:val="fr-CA" w:eastAsia="en-US"/>
    </w:rPr>
  </w:style>
  <w:style w:type="character" w:customStyle="1" w:styleId="ZZAnxtitleChar">
    <w:name w:val="ZZ_Anx_title Char"/>
    <w:link w:val="ZZAnxtitle"/>
    <w:rsid w:val="008228B5"/>
    <w:rPr>
      <w:b/>
      <w:bCs/>
      <w:sz w:val="28"/>
      <w:szCs w:val="26"/>
      <w:lang w:val="fr-CA" w:eastAsia="en-US"/>
    </w:rPr>
  </w:style>
  <w:style w:type="character" w:customStyle="1" w:styleId="CH3Char">
    <w:name w:val="CH3 Char"/>
    <w:link w:val="CH3"/>
    <w:rsid w:val="008228B5"/>
    <w:rPr>
      <w:b/>
      <w:lang w:val="fr-CA" w:eastAsia="en-US"/>
    </w:rPr>
  </w:style>
  <w:style w:type="character" w:customStyle="1" w:styleId="NormalNonumberChar">
    <w:name w:val="Normal_No_number Char"/>
    <w:link w:val="NormalNonumber"/>
    <w:rsid w:val="008228B5"/>
    <w:rPr>
      <w:lang w:val="fr-CA" w:eastAsia="en-US"/>
    </w:rPr>
  </w:style>
  <w:style w:type="paragraph" w:styleId="EnvelopeReturn">
    <w:name w:val="envelope return"/>
    <w:basedOn w:val="Normal"/>
    <w:unhideWhenUsed/>
    <w:rsid w:val="008228B5"/>
    <w:pPr>
      <w:widowControl w:val="0"/>
      <w:tabs>
        <w:tab w:val="left" w:pos="-720"/>
      </w:tabs>
      <w:suppressAutoHyphens/>
      <w:snapToGrid w:val="0"/>
    </w:pPr>
    <w:rPr>
      <w:rFonts w:ascii="Garamond" w:hAnsi="Garamond"/>
      <w:sz w:val="22"/>
      <w:lang w:val="en-GB"/>
    </w:rPr>
  </w:style>
  <w:style w:type="character" w:customStyle="1" w:styleId="DeltaViewInsertion">
    <w:name w:val="DeltaView Insertion"/>
    <w:uiPriority w:val="99"/>
    <w:rsid w:val="009E159C"/>
    <w:rPr>
      <w:color w:val="0000FF"/>
      <w:u w:val="double"/>
    </w:rPr>
  </w:style>
  <w:style w:type="character" w:customStyle="1" w:styleId="CH2Char">
    <w:name w:val="CH2 Char"/>
    <w:link w:val="CH2"/>
    <w:locked/>
    <w:rsid w:val="00047771"/>
    <w:rPr>
      <w:b/>
      <w:sz w:val="24"/>
      <w:szCs w:val="24"/>
      <w:lang w:val="fr-CA" w:eastAsia="en-US"/>
    </w:rPr>
  </w:style>
  <w:style w:type="paragraph" w:customStyle="1" w:styleId="Brdtext">
    <w:name w:val="Brödtext"/>
    <w:rsid w:val="00047771"/>
    <w:pP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Inget">
    <w:name w:val="Inget"/>
    <w:rsid w:val="00047771"/>
  </w:style>
  <w:style w:type="paragraph" w:customStyle="1" w:styleId="Body">
    <w:name w:val="Body"/>
    <w:rsid w:val="006C47D7"/>
    <w:pPr>
      <w:pBdr>
        <w:top w:val="nil"/>
        <w:left w:val="nil"/>
        <w:bottom w:val="nil"/>
        <w:right w:val="nil"/>
        <w:between w:val="nil"/>
        <w:bar w:val="nil"/>
      </w:pBdr>
      <w:tabs>
        <w:tab w:val="left" w:pos="1247"/>
        <w:tab w:val="left" w:pos="1814"/>
        <w:tab w:val="left" w:pos="2381"/>
        <w:tab w:val="left" w:pos="2948"/>
        <w:tab w:val="left" w:pos="3515"/>
      </w:tabs>
    </w:pPr>
    <w:rPr>
      <w:color w:val="000000"/>
      <w:u w:color="000000"/>
      <w:bdr w:val="nil"/>
      <w:lang w:eastAsia="en-GB"/>
    </w:rPr>
  </w:style>
  <w:style w:type="character" w:customStyle="1" w:styleId="Heading1Char">
    <w:name w:val="Heading 1 Char"/>
    <w:basedOn w:val="DefaultParagraphFont"/>
    <w:link w:val="Heading1"/>
    <w:rsid w:val="00A06DF8"/>
    <w:rPr>
      <w:b/>
      <w:sz w:val="28"/>
      <w:lang w:val="fr-FR" w:eastAsia="en-US"/>
    </w:rPr>
  </w:style>
  <w:style w:type="character" w:customStyle="1" w:styleId="Heading2Char">
    <w:name w:val="Heading 2 Char"/>
    <w:basedOn w:val="DefaultParagraphFont"/>
    <w:link w:val="Heading2"/>
    <w:rsid w:val="00A06DF8"/>
    <w:rPr>
      <w:b/>
      <w:sz w:val="24"/>
      <w:szCs w:val="24"/>
      <w:lang w:val="fr-FR" w:eastAsia="en-US"/>
    </w:rPr>
  </w:style>
  <w:style w:type="character" w:customStyle="1" w:styleId="Heading3Char">
    <w:name w:val="Heading 3 Char"/>
    <w:basedOn w:val="DefaultParagraphFont"/>
    <w:link w:val="Heading3"/>
    <w:rsid w:val="00A06DF8"/>
    <w:rPr>
      <w:b/>
      <w:lang w:val="fr-FR" w:eastAsia="en-US"/>
    </w:rPr>
  </w:style>
  <w:style w:type="character" w:customStyle="1" w:styleId="Heading4Char">
    <w:name w:val="Heading 4 Char"/>
    <w:basedOn w:val="DefaultParagraphFont"/>
    <w:link w:val="Heading4"/>
    <w:rsid w:val="00A06DF8"/>
    <w:rPr>
      <w:b/>
      <w:lang w:val="fr-FR" w:eastAsia="en-US"/>
    </w:rPr>
  </w:style>
  <w:style w:type="character" w:customStyle="1" w:styleId="Heading5Char">
    <w:name w:val="Heading 5 Char"/>
    <w:basedOn w:val="DefaultParagraphFont"/>
    <w:link w:val="Heading5"/>
    <w:rsid w:val="00A06DF8"/>
    <w:rPr>
      <w:rFonts w:ascii="Univers" w:hAnsi="Univers"/>
      <w:b/>
      <w:sz w:val="24"/>
      <w:lang w:val="fr-FR" w:eastAsia="en-US"/>
    </w:rPr>
  </w:style>
  <w:style w:type="character" w:customStyle="1" w:styleId="Heading6Char">
    <w:name w:val="Heading 6 Char"/>
    <w:basedOn w:val="DefaultParagraphFont"/>
    <w:link w:val="Heading6"/>
    <w:rsid w:val="00A06DF8"/>
    <w:rPr>
      <w:b/>
      <w:bCs/>
      <w:sz w:val="24"/>
      <w:lang w:val="fr-FR" w:eastAsia="en-US"/>
    </w:rPr>
  </w:style>
  <w:style w:type="character" w:customStyle="1" w:styleId="Heading7Char">
    <w:name w:val="Heading 7 Char"/>
    <w:basedOn w:val="DefaultParagraphFont"/>
    <w:link w:val="Heading7"/>
    <w:rsid w:val="00A06DF8"/>
    <w:rPr>
      <w:snapToGrid w:val="0"/>
      <w:u w:val="single"/>
      <w:lang w:val="en-US" w:eastAsia="en-US"/>
    </w:rPr>
  </w:style>
  <w:style w:type="character" w:customStyle="1" w:styleId="Heading8Char">
    <w:name w:val="Heading 8 Char"/>
    <w:basedOn w:val="DefaultParagraphFont"/>
    <w:link w:val="Heading8"/>
    <w:rsid w:val="00A06DF8"/>
    <w:rPr>
      <w:snapToGrid w:val="0"/>
      <w:u w:val="single"/>
      <w:lang w:val="en-US" w:eastAsia="en-US"/>
    </w:rPr>
  </w:style>
  <w:style w:type="character" w:customStyle="1" w:styleId="Heading9Char">
    <w:name w:val="Heading 9 Char"/>
    <w:basedOn w:val="DefaultParagraphFont"/>
    <w:link w:val="Heading9"/>
    <w:rsid w:val="00A06DF8"/>
    <w:rPr>
      <w:snapToGrid w:val="0"/>
      <w:u w:val="single"/>
      <w:lang w:val="en-US" w:eastAsia="en-US"/>
    </w:rPr>
  </w:style>
  <w:style w:type="character" w:customStyle="1" w:styleId="FooterChar">
    <w:name w:val="Footer Char"/>
    <w:basedOn w:val="DefaultParagraphFont"/>
    <w:link w:val="Footer"/>
    <w:rsid w:val="00A06DF8"/>
    <w:rPr>
      <w:sz w:val="18"/>
      <w:lang w:val="fr-FR" w:eastAsia="en-US"/>
    </w:rPr>
  </w:style>
  <w:style w:type="character" w:customStyle="1" w:styleId="HeaderChar">
    <w:name w:val="Header Char"/>
    <w:basedOn w:val="DefaultParagraphFont"/>
    <w:link w:val="Header"/>
    <w:rsid w:val="00A06DF8"/>
    <w:rPr>
      <w:b/>
      <w:sz w:val="18"/>
      <w:lang w:val="fr-FR" w:eastAsia="en-US"/>
    </w:rPr>
  </w:style>
  <w:style w:type="character" w:customStyle="1" w:styleId="BBTitleChar">
    <w:name w:val="BB_Title Char"/>
    <w:link w:val="BBTitle"/>
    <w:rsid w:val="00A06DF8"/>
    <w:rPr>
      <w:b/>
      <w:sz w:val="28"/>
      <w:szCs w:val="28"/>
      <w:lang w:val="fr-CA" w:eastAsia="en-US"/>
    </w:rPr>
  </w:style>
  <w:style w:type="paragraph" w:customStyle="1" w:styleId="Default">
    <w:name w:val="Default"/>
    <w:uiPriority w:val="99"/>
    <w:rsid w:val="00A06DF8"/>
    <w:pPr>
      <w:autoSpaceDE w:val="0"/>
      <w:autoSpaceDN w:val="0"/>
      <w:adjustRightInd w:val="0"/>
    </w:pPr>
    <w:rPr>
      <w:rFonts w:eastAsia="Calibri"/>
      <w:color w:val="000000"/>
      <w:sz w:val="24"/>
      <w:szCs w:val="24"/>
      <w:lang w:val="fr-CH" w:eastAsia="en-US"/>
    </w:rPr>
  </w:style>
  <w:style w:type="character" w:customStyle="1" w:styleId="hps">
    <w:name w:val="hps"/>
    <w:uiPriority w:val="99"/>
    <w:rsid w:val="00A06DF8"/>
    <w:rPr>
      <w:rFonts w:cs="Times New Roman"/>
    </w:rPr>
  </w:style>
  <w:style w:type="paragraph" w:styleId="NormalWeb">
    <w:name w:val="Normal (Web)"/>
    <w:basedOn w:val="Normal"/>
    <w:uiPriority w:val="99"/>
    <w:unhideWhenUsed/>
    <w:rsid w:val="00A06DF8"/>
    <w:pPr>
      <w:tabs>
        <w:tab w:val="clear" w:pos="1247"/>
        <w:tab w:val="clear" w:pos="1814"/>
        <w:tab w:val="clear" w:pos="2381"/>
        <w:tab w:val="clear" w:pos="2948"/>
        <w:tab w:val="clear" w:pos="3515"/>
      </w:tabs>
      <w:spacing w:before="100" w:beforeAutospacing="1" w:after="100" w:afterAutospacing="1"/>
    </w:pPr>
    <w:rPr>
      <w:sz w:val="24"/>
      <w:szCs w:val="24"/>
      <w:lang w:val="en-GB" w:eastAsia="zh-CN"/>
    </w:rPr>
  </w:style>
  <w:style w:type="character" w:customStyle="1" w:styleId="Hyperlink0">
    <w:name w:val="Hyperlink.0"/>
    <w:rsid w:val="00A06DF8"/>
    <w:rPr>
      <w:rFonts w:cs="Times New Roman"/>
      <w:lang w:val="en-US" w:eastAsia="x-none"/>
    </w:rPr>
  </w:style>
  <w:style w:type="numbering" w:customStyle="1" w:styleId="Importeradestilen14">
    <w:name w:val="Importerade stilen 14"/>
    <w:rsid w:val="00A06DF8"/>
    <w:pPr>
      <w:numPr>
        <w:numId w:val="7"/>
      </w:numPr>
    </w:pPr>
  </w:style>
  <w:style w:type="numbering" w:customStyle="1" w:styleId="Importeradestilen15">
    <w:name w:val="Importerade stilen 15"/>
    <w:rsid w:val="00A06DF8"/>
    <w:pPr>
      <w:numPr>
        <w:numId w:val="8"/>
      </w:numPr>
    </w:pPr>
  </w:style>
  <w:style w:type="numbering" w:customStyle="1" w:styleId="Importeradestilen12">
    <w:name w:val="Importerade stilen 12"/>
    <w:rsid w:val="00A06DF8"/>
    <w:pPr>
      <w:numPr>
        <w:numId w:val="6"/>
      </w:numPr>
    </w:pPr>
  </w:style>
  <w:style w:type="character" w:styleId="Strong">
    <w:name w:val="Strong"/>
    <w:uiPriority w:val="22"/>
    <w:qFormat/>
    <w:rsid w:val="007D528E"/>
    <w:rPr>
      <w:b/>
      <w:bCs/>
    </w:rPr>
  </w:style>
  <w:style w:type="character" w:customStyle="1" w:styleId="uficommentbody">
    <w:name w:val="uficommentbody"/>
    <w:rsid w:val="007D528E"/>
  </w:style>
  <w:style w:type="character" w:customStyle="1" w:styleId="NormalnumberChar">
    <w:name w:val="Normal_number Char"/>
    <w:link w:val="Normalnumber"/>
    <w:locked/>
    <w:rsid w:val="00677C61"/>
    <w:rPr>
      <w:lang w:val="fr-FR" w:eastAsia="en-US"/>
    </w:rPr>
  </w:style>
  <w:style w:type="numbering" w:customStyle="1" w:styleId="NoList1">
    <w:name w:val="No List1"/>
    <w:next w:val="NoList"/>
    <w:semiHidden/>
    <w:rsid w:val="00E81510"/>
  </w:style>
  <w:style w:type="table" w:customStyle="1" w:styleId="AATable1">
    <w:name w:val="AA_Table1"/>
    <w:basedOn w:val="TableNormal"/>
    <w:semiHidden/>
    <w:rsid w:val="00E81510"/>
    <w:rPr>
      <w:lang w:val="en-US" w:eastAsia="en-US"/>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numbering" w:customStyle="1" w:styleId="Normallist1">
    <w:name w:val="Normal_list1"/>
    <w:basedOn w:val="NoList"/>
    <w:semiHidden/>
    <w:rsid w:val="00E81510"/>
  </w:style>
  <w:style w:type="paragraph" w:styleId="BodyText">
    <w:name w:val="Body Text"/>
    <w:basedOn w:val="Normal"/>
    <w:link w:val="BodyTextChar"/>
    <w:rsid w:val="00A6475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A6475E"/>
    <w:rPr>
      <w:rFonts w:eastAsia="SimSun"/>
      <w:sz w:val="22"/>
      <w:szCs w:val="24"/>
      <w:lang w:val="en-US" w:eastAsia="en-US"/>
    </w:rPr>
  </w:style>
  <w:style w:type="paragraph" w:styleId="TOCHeading">
    <w:name w:val="TOC Heading"/>
    <w:basedOn w:val="Heading1"/>
    <w:next w:val="Normal"/>
    <w:uiPriority w:val="39"/>
    <w:unhideWhenUsed/>
    <w:qFormat/>
    <w:rsid w:val="00B27BE2"/>
    <w:pPr>
      <w:keepLines/>
      <w:tabs>
        <w:tab w:val="clear" w:pos="1247"/>
        <w:tab w:val="clear" w:pos="1814"/>
        <w:tab w:val="clear" w:pos="2381"/>
        <w:tab w:val="clear" w:pos="2948"/>
        <w:tab w:val="clear" w:pos="3515"/>
      </w:tabs>
      <w:spacing w:before="480" w:after="0" w:line="276" w:lineRule="auto"/>
      <w:ind w:left="0" w:firstLine="0"/>
      <w:outlineLvl w:val="9"/>
    </w:pPr>
    <w:rPr>
      <w:rFonts w:asciiTheme="majorHAnsi" w:eastAsiaTheme="majorEastAsia" w:hAnsiTheme="majorHAnsi" w:cstheme="majorBidi"/>
      <w:bCs/>
      <w:color w:val="365F91" w:themeColor="accent1" w:themeShade="BF"/>
      <w:szCs w:val="28"/>
      <w:lang w:eastAsia="fr-FR"/>
    </w:rPr>
  </w:style>
  <w:style w:type="numbering" w:customStyle="1" w:styleId="Normallist2">
    <w:name w:val="Normal_list2"/>
    <w:basedOn w:val="NoList"/>
    <w:rsid w:val="006C30B5"/>
    <w:pPr>
      <w:numPr>
        <w:numId w:val="13"/>
      </w:numPr>
    </w:pPr>
  </w:style>
  <w:style w:type="character" w:customStyle="1" w:styleId="DeltaViewMoveDestination">
    <w:name w:val="DeltaView Move Destination"/>
    <w:uiPriority w:val="99"/>
    <w:rsid w:val="006C30B5"/>
    <w:rPr>
      <w:color w:val="00C000"/>
      <w:u w:val="double"/>
    </w:rPr>
  </w:style>
  <w:style w:type="numbering" w:customStyle="1" w:styleId="WWNum25">
    <w:name w:val="WWNum25"/>
    <w:rsid w:val="006C30B5"/>
    <w:pPr>
      <w:numPr>
        <w:numId w:val="9"/>
      </w:numPr>
    </w:p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uiPriority w:val="34"/>
    <w:rsid w:val="006C30B5"/>
    <w:rPr>
      <w:lang w:val="fr-FR" w:eastAsia="en-US"/>
    </w:rPr>
  </w:style>
  <w:style w:type="numbering" w:customStyle="1" w:styleId="ImportedStyle2">
    <w:name w:val="Imported Style 2"/>
    <w:rsid w:val="006C30B5"/>
    <w:pPr>
      <w:numPr>
        <w:numId w:val="10"/>
      </w:numPr>
    </w:pPr>
  </w:style>
  <w:style w:type="paragraph" w:customStyle="1" w:styleId="Text">
    <w:name w:val="Text"/>
    <w:rsid w:val="006C30B5"/>
    <w:pPr>
      <w:pBdr>
        <w:top w:val="nil"/>
        <w:left w:val="nil"/>
        <w:bottom w:val="nil"/>
        <w:right w:val="nil"/>
        <w:between w:val="nil"/>
        <w:bar w:val="nil"/>
      </w:pBdr>
      <w:suppressAutoHyphens/>
    </w:pPr>
    <w:rPr>
      <w:rFonts w:eastAsia="Arial Unicode MS" w:cs="Arial Unicode MS"/>
      <w:color w:val="000000"/>
      <w:u w:color="000000"/>
      <w:bdr w:val="nil"/>
      <w:lang w:val="en-US"/>
    </w:rPr>
  </w:style>
  <w:style w:type="numbering" w:customStyle="1" w:styleId="Importovanstyl6">
    <w:name w:val="Importovaný styl 6"/>
    <w:rsid w:val="006C30B5"/>
    <w:pPr>
      <w:numPr>
        <w:numId w:val="11"/>
      </w:numPr>
    </w:pPr>
  </w:style>
  <w:style w:type="numbering" w:customStyle="1" w:styleId="Importovanstyl9">
    <w:name w:val="Importovaný styl 9"/>
    <w:rsid w:val="006C30B5"/>
    <w:pPr>
      <w:numPr>
        <w:numId w:val="12"/>
      </w:numPr>
    </w:pPr>
  </w:style>
  <w:style w:type="character" w:customStyle="1" w:styleId="NormalpoolChar">
    <w:name w:val="Normal_pool Char"/>
    <w:link w:val="Normalpool"/>
    <w:locked/>
    <w:rsid w:val="006C30B5"/>
    <w:rPr>
      <w:lang w:val="fr-CA" w:eastAsia="en-US"/>
    </w:rPr>
  </w:style>
  <w:style w:type="paragraph" w:customStyle="1" w:styleId="BVIfnrCharCharCharChar">
    <w:name w:val="BVI fnr Char Char Char Char"/>
    <w:aliases w:val=" BVI fnr Car Car Char Char Char Char,BVI fnr Car Char Char Char Char, BVI fnr Car Car Car Car Char Char Char Char, BVI fnr Car Car Car Car Char Char Char1 Char Char,BVI fnr Car Car Char Char Char Char"/>
    <w:basedOn w:val="Normal"/>
    <w:link w:val="FootnoteReference"/>
    <w:unhideWhenUsed/>
    <w:rsid w:val="006C30B5"/>
    <w:pPr>
      <w:tabs>
        <w:tab w:val="clear" w:pos="1247"/>
        <w:tab w:val="clear" w:pos="1814"/>
        <w:tab w:val="clear" w:pos="2381"/>
        <w:tab w:val="clear" w:pos="2948"/>
        <w:tab w:val="clear" w:pos="3515"/>
      </w:tabs>
      <w:spacing w:before="120" w:after="160" w:line="240" w:lineRule="exact"/>
    </w:pPr>
    <w:rPr>
      <w:szCs w:val="18"/>
      <w:vertAlign w:val="superscript"/>
      <w:lang w:val="en-GB" w:eastAsia="zh-CN"/>
    </w:rPr>
  </w:style>
  <w:style w:type="character" w:styleId="UnresolvedMention">
    <w:name w:val="Unresolved Mention"/>
    <w:basedOn w:val="DefaultParagraphFont"/>
    <w:uiPriority w:val="99"/>
    <w:semiHidden/>
    <w:unhideWhenUsed/>
    <w:rsid w:val="006C3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3418">
      <w:bodyDiv w:val="1"/>
      <w:marLeft w:val="0"/>
      <w:marRight w:val="0"/>
      <w:marTop w:val="0"/>
      <w:marBottom w:val="0"/>
      <w:divBdr>
        <w:top w:val="none" w:sz="0" w:space="0" w:color="auto"/>
        <w:left w:val="none" w:sz="0" w:space="0" w:color="auto"/>
        <w:bottom w:val="none" w:sz="0" w:space="0" w:color="auto"/>
        <w:right w:val="none" w:sz="0" w:space="0" w:color="auto"/>
      </w:divBdr>
    </w:div>
    <w:div w:id="303657405">
      <w:bodyDiv w:val="1"/>
      <w:marLeft w:val="0"/>
      <w:marRight w:val="0"/>
      <w:marTop w:val="0"/>
      <w:marBottom w:val="0"/>
      <w:divBdr>
        <w:top w:val="none" w:sz="0" w:space="0" w:color="auto"/>
        <w:left w:val="none" w:sz="0" w:space="0" w:color="auto"/>
        <w:bottom w:val="none" w:sz="0" w:space="0" w:color="auto"/>
        <w:right w:val="none" w:sz="0" w:space="0" w:color="auto"/>
      </w:divBdr>
    </w:div>
    <w:div w:id="322317045">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45917365">
      <w:bodyDiv w:val="1"/>
      <w:marLeft w:val="0"/>
      <w:marRight w:val="0"/>
      <w:marTop w:val="0"/>
      <w:marBottom w:val="0"/>
      <w:divBdr>
        <w:top w:val="none" w:sz="0" w:space="0" w:color="auto"/>
        <w:left w:val="none" w:sz="0" w:space="0" w:color="auto"/>
        <w:bottom w:val="none" w:sz="0" w:space="0" w:color="auto"/>
        <w:right w:val="none" w:sz="0" w:space="0" w:color="auto"/>
      </w:divBdr>
    </w:div>
    <w:div w:id="750586826">
      <w:bodyDiv w:val="1"/>
      <w:marLeft w:val="0"/>
      <w:marRight w:val="0"/>
      <w:marTop w:val="0"/>
      <w:marBottom w:val="0"/>
      <w:divBdr>
        <w:top w:val="none" w:sz="0" w:space="0" w:color="auto"/>
        <w:left w:val="none" w:sz="0" w:space="0" w:color="auto"/>
        <w:bottom w:val="none" w:sz="0" w:space="0" w:color="auto"/>
        <w:right w:val="none" w:sz="0" w:space="0" w:color="auto"/>
      </w:divBdr>
    </w:div>
    <w:div w:id="823398946">
      <w:bodyDiv w:val="1"/>
      <w:marLeft w:val="0"/>
      <w:marRight w:val="0"/>
      <w:marTop w:val="0"/>
      <w:marBottom w:val="0"/>
      <w:divBdr>
        <w:top w:val="none" w:sz="0" w:space="0" w:color="auto"/>
        <w:left w:val="none" w:sz="0" w:space="0" w:color="auto"/>
        <w:bottom w:val="none" w:sz="0" w:space="0" w:color="auto"/>
        <w:right w:val="none" w:sz="0" w:space="0" w:color="auto"/>
      </w:divBdr>
    </w:div>
    <w:div w:id="918363720">
      <w:bodyDiv w:val="1"/>
      <w:marLeft w:val="0"/>
      <w:marRight w:val="0"/>
      <w:marTop w:val="0"/>
      <w:marBottom w:val="0"/>
      <w:divBdr>
        <w:top w:val="none" w:sz="0" w:space="0" w:color="auto"/>
        <w:left w:val="none" w:sz="0" w:space="0" w:color="auto"/>
        <w:bottom w:val="none" w:sz="0" w:space="0" w:color="auto"/>
        <w:right w:val="none" w:sz="0" w:space="0" w:color="auto"/>
      </w:divBdr>
      <w:divsChild>
        <w:div w:id="1078987041">
          <w:marLeft w:val="0"/>
          <w:marRight w:val="0"/>
          <w:marTop w:val="0"/>
          <w:marBottom w:val="0"/>
          <w:divBdr>
            <w:top w:val="none" w:sz="0" w:space="0" w:color="auto"/>
            <w:left w:val="none" w:sz="0" w:space="0" w:color="auto"/>
            <w:bottom w:val="none" w:sz="0" w:space="0" w:color="auto"/>
            <w:right w:val="none" w:sz="0" w:space="0" w:color="auto"/>
          </w:divBdr>
        </w:div>
        <w:div w:id="1089347858">
          <w:marLeft w:val="0"/>
          <w:marRight w:val="0"/>
          <w:marTop w:val="0"/>
          <w:marBottom w:val="0"/>
          <w:divBdr>
            <w:top w:val="none" w:sz="0" w:space="0" w:color="auto"/>
            <w:left w:val="none" w:sz="0" w:space="0" w:color="auto"/>
            <w:bottom w:val="none" w:sz="0" w:space="0" w:color="auto"/>
            <w:right w:val="none" w:sz="0" w:space="0" w:color="auto"/>
          </w:divBdr>
        </w:div>
      </w:divsChild>
    </w:div>
    <w:div w:id="932280951">
      <w:bodyDiv w:val="1"/>
      <w:marLeft w:val="0"/>
      <w:marRight w:val="0"/>
      <w:marTop w:val="0"/>
      <w:marBottom w:val="0"/>
      <w:divBdr>
        <w:top w:val="none" w:sz="0" w:space="0" w:color="auto"/>
        <w:left w:val="none" w:sz="0" w:space="0" w:color="auto"/>
        <w:bottom w:val="none" w:sz="0" w:space="0" w:color="auto"/>
        <w:right w:val="none" w:sz="0" w:space="0" w:color="auto"/>
      </w:divBdr>
    </w:div>
    <w:div w:id="1034429132">
      <w:bodyDiv w:val="1"/>
      <w:marLeft w:val="0"/>
      <w:marRight w:val="0"/>
      <w:marTop w:val="0"/>
      <w:marBottom w:val="0"/>
      <w:divBdr>
        <w:top w:val="none" w:sz="0" w:space="0" w:color="auto"/>
        <w:left w:val="none" w:sz="0" w:space="0" w:color="auto"/>
        <w:bottom w:val="none" w:sz="0" w:space="0" w:color="auto"/>
        <w:right w:val="none" w:sz="0" w:space="0" w:color="auto"/>
      </w:divBdr>
    </w:div>
    <w:div w:id="1179194494">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67540681">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98476495">
      <w:bodyDiv w:val="1"/>
      <w:marLeft w:val="0"/>
      <w:marRight w:val="0"/>
      <w:marTop w:val="0"/>
      <w:marBottom w:val="0"/>
      <w:divBdr>
        <w:top w:val="none" w:sz="0" w:space="0" w:color="auto"/>
        <w:left w:val="none" w:sz="0" w:space="0" w:color="auto"/>
        <w:bottom w:val="none" w:sz="0" w:space="0" w:color="auto"/>
        <w:right w:val="none" w:sz="0" w:space="0" w:color="auto"/>
      </w:divBdr>
    </w:div>
    <w:div w:id="1464152639">
      <w:bodyDiv w:val="1"/>
      <w:marLeft w:val="0"/>
      <w:marRight w:val="0"/>
      <w:marTop w:val="0"/>
      <w:marBottom w:val="0"/>
      <w:divBdr>
        <w:top w:val="none" w:sz="0" w:space="0" w:color="auto"/>
        <w:left w:val="none" w:sz="0" w:space="0" w:color="auto"/>
        <w:bottom w:val="none" w:sz="0" w:space="0" w:color="auto"/>
        <w:right w:val="none" w:sz="0" w:space="0" w:color="auto"/>
      </w:divBdr>
    </w:div>
    <w:div w:id="1697152681">
      <w:bodyDiv w:val="1"/>
      <w:marLeft w:val="0"/>
      <w:marRight w:val="0"/>
      <w:marTop w:val="0"/>
      <w:marBottom w:val="0"/>
      <w:divBdr>
        <w:top w:val="none" w:sz="0" w:space="0" w:color="auto"/>
        <w:left w:val="none" w:sz="0" w:space="0" w:color="auto"/>
        <w:bottom w:val="none" w:sz="0" w:space="0" w:color="auto"/>
        <w:right w:val="none" w:sz="0" w:space="0" w:color="auto"/>
      </w:divBdr>
    </w:div>
    <w:div w:id="1883592303">
      <w:bodyDiv w:val="1"/>
      <w:marLeft w:val="0"/>
      <w:marRight w:val="0"/>
      <w:marTop w:val="0"/>
      <w:marBottom w:val="0"/>
      <w:divBdr>
        <w:top w:val="none" w:sz="0" w:space="0" w:color="auto"/>
        <w:left w:val="none" w:sz="0" w:space="0" w:color="auto"/>
        <w:bottom w:val="none" w:sz="0" w:space="0" w:color="auto"/>
        <w:right w:val="none" w:sz="0" w:space="0" w:color="auto"/>
      </w:divBdr>
    </w:div>
    <w:div w:id="211578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A6080-9BB2-43D1-9D71-248B086CD7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FB5916-0AD7-47AD-80B5-6A826330C542}">
  <ds:schemaRefs>
    <ds:schemaRef ds:uri="http://schemas.microsoft.com/sharepoint/v3/contenttype/forms"/>
  </ds:schemaRefs>
</ds:datastoreItem>
</file>

<file path=customXml/itemProps3.xml><?xml version="1.0" encoding="utf-8"?>
<ds:datastoreItem xmlns:ds="http://schemas.openxmlformats.org/officeDocument/2006/customXml" ds:itemID="{C40F1DD2-0274-4564-B3E0-A81F9B46A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95DB5C-3A72-46EB-A6E9-E9BFB3BB8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1481</Words>
  <Characters>8446</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Alexandru SOFRONI</cp:lastModifiedBy>
  <cp:revision>5</cp:revision>
  <cp:lastPrinted>2020-11-09T12:20:00Z</cp:lastPrinted>
  <dcterms:created xsi:type="dcterms:W3CDTF">2020-11-06T13:39:00Z</dcterms:created>
  <dcterms:modified xsi:type="dcterms:W3CDTF">2020-11-09T12:20:00Z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