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741"/>
        <w:gridCol w:w="4748"/>
        <w:gridCol w:w="3411"/>
      </w:tblGrid>
      <w:tr w:rsidR="008E5088" w:rsidRPr="002927A1" w14:paraId="58A38A1E" w14:textId="77777777" w:rsidTr="008E5088">
        <w:trPr>
          <w:cantSplit/>
          <w:trHeight w:val="850"/>
        </w:trPr>
        <w:tc>
          <w:tcPr>
            <w:tcW w:w="1741" w:type="dxa"/>
          </w:tcPr>
          <w:p w14:paraId="78B96826" w14:textId="77777777" w:rsidR="008E5088" w:rsidRPr="002927A1" w:rsidRDefault="008E5088" w:rsidP="00801181">
            <w:pPr>
              <w:rPr>
                <w:rFonts w:ascii="Univers" w:hAnsi="Univers"/>
                <w:b/>
                <w:sz w:val="27"/>
                <w:szCs w:val="27"/>
              </w:rPr>
            </w:pPr>
            <w:r w:rsidRPr="002927A1">
              <w:rPr>
                <w:rFonts w:ascii="Arial" w:hAnsi="Arial" w:cs="Arial"/>
                <w:b/>
                <w:sz w:val="27"/>
                <w:szCs w:val="27"/>
              </w:rPr>
              <w:t>NACIONES UNIDAS</w:t>
            </w:r>
          </w:p>
        </w:tc>
        <w:tc>
          <w:tcPr>
            <w:tcW w:w="4748" w:type="dxa"/>
          </w:tcPr>
          <w:p w14:paraId="7BDD78BB" w14:textId="77777777" w:rsidR="008E5088" w:rsidRPr="002927A1" w:rsidRDefault="008E5088" w:rsidP="00801181">
            <w:pPr>
              <w:rPr>
                <w:rFonts w:ascii="Univers" w:hAnsi="Univers"/>
                <w:b/>
                <w:sz w:val="27"/>
                <w:szCs w:val="27"/>
              </w:rPr>
            </w:pPr>
          </w:p>
        </w:tc>
        <w:tc>
          <w:tcPr>
            <w:tcW w:w="3411" w:type="dxa"/>
          </w:tcPr>
          <w:p w14:paraId="7A6D92BE" w14:textId="77777777" w:rsidR="008E5088" w:rsidRPr="002927A1" w:rsidRDefault="008E5088" w:rsidP="00801181">
            <w:pPr>
              <w:jc w:val="right"/>
              <w:rPr>
                <w:rFonts w:ascii="Arial" w:hAnsi="Arial" w:cs="Arial"/>
                <w:b/>
                <w:sz w:val="64"/>
                <w:szCs w:val="64"/>
              </w:rPr>
            </w:pPr>
            <w:r w:rsidRPr="002927A1">
              <w:rPr>
                <w:rFonts w:ascii="Arial" w:hAnsi="Arial" w:cs="Arial"/>
                <w:b/>
                <w:sz w:val="64"/>
                <w:szCs w:val="64"/>
              </w:rPr>
              <w:t>MC</w:t>
            </w:r>
          </w:p>
        </w:tc>
      </w:tr>
      <w:tr w:rsidR="008E5088" w:rsidRPr="002927A1" w14:paraId="20F87D34" w14:textId="77777777" w:rsidTr="008E5088">
        <w:trPr>
          <w:cantSplit/>
          <w:trHeight w:val="281"/>
        </w:trPr>
        <w:tc>
          <w:tcPr>
            <w:tcW w:w="1741" w:type="dxa"/>
            <w:tcBorders>
              <w:bottom w:val="single" w:sz="4" w:space="0" w:color="auto"/>
            </w:tcBorders>
          </w:tcPr>
          <w:p w14:paraId="14F68DEC" w14:textId="77777777" w:rsidR="008E5088" w:rsidRPr="002927A1" w:rsidRDefault="008E5088" w:rsidP="00801181">
            <w:pPr>
              <w:rPr>
                <w:sz w:val="18"/>
                <w:szCs w:val="18"/>
              </w:rPr>
            </w:pPr>
          </w:p>
        </w:tc>
        <w:tc>
          <w:tcPr>
            <w:tcW w:w="4748" w:type="dxa"/>
            <w:tcBorders>
              <w:bottom w:val="single" w:sz="4" w:space="0" w:color="auto"/>
            </w:tcBorders>
          </w:tcPr>
          <w:p w14:paraId="51AF5539" w14:textId="77777777" w:rsidR="008E5088" w:rsidRPr="002927A1" w:rsidRDefault="008E5088" w:rsidP="00801181">
            <w:pPr>
              <w:rPr>
                <w:rFonts w:ascii="Univers" w:hAnsi="Univers"/>
                <w:b/>
                <w:sz w:val="18"/>
                <w:szCs w:val="18"/>
              </w:rPr>
            </w:pPr>
          </w:p>
        </w:tc>
        <w:tc>
          <w:tcPr>
            <w:tcW w:w="3411" w:type="dxa"/>
            <w:tcBorders>
              <w:bottom w:val="single" w:sz="4" w:space="0" w:color="auto"/>
            </w:tcBorders>
          </w:tcPr>
          <w:p w14:paraId="4E655847" w14:textId="67F00125" w:rsidR="008E5088" w:rsidRPr="002927A1" w:rsidRDefault="008E5088" w:rsidP="00801181">
            <w:pPr>
              <w:rPr>
                <w:sz w:val="18"/>
                <w:szCs w:val="18"/>
              </w:rPr>
            </w:pPr>
            <w:r w:rsidRPr="002927A1">
              <w:rPr>
                <w:b/>
                <w:bCs/>
                <w:sz w:val="28"/>
              </w:rPr>
              <w:t>UNEP</w:t>
            </w:r>
            <w:r w:rsidRPr="002927A1">
              <w:rPr>
                <w:b/>
                <w:bCs/>
              </w:rPr>
              <w:t>/</w:t>
            </w:r>
            <w:r w:rsidRPr="002927A1">
              <w:t>MC/COP.</w:t>
            </w:r>
            <w:r w:rsidR="003739C1">
              <w:t>2</w:t>
            </w:r>
            <w:r w:rsidRPr="002927A1">
              <w:t>/</w:t>
            </w:r>
            <w:r w:rsidR="001D2060">
              <w:t>Dec</w:t>
            </w:r>
            <w:r w:rsidR="00530A2C">
              <w:t>.</w:t>
            </w:r>
            <w:r w:rsidR="006E697A">
              <w:t>10</w:t>
            </w:r>
          </w:p>
        </w:tc>
      </w:tr>
      <w:tr w:rsidR="008E5088" w:rsidRPr="002927A1" w14:paraId="5CC50D76" w14:textId="77777777" w:rsidTr="008E5088">
        <w:trPr>
          <w:cantSplit/>
          <w:trHeight w:val="2549"/>
        </w:trPr>
        <w:tc>
          <w:tcPr>
            <w:tcW w:w="1741" w:type="dxa"/>
            <w:tcBorders>
              <w:top w:val="single" w:sz="4" w:space="0" w:color="auto"/>
              <w:bottom w:val="single" w:sz="24" w:space="0" w:color="auto"/>
            </w:tcBorders>
          </w:tcPr>
          <w:p w14:paraId="77E7EC75" w14:textId="77777777" w:rsidR="008E5088" w:rsidRPr="002927A1" w:rsidRDefault="008E5088" w:rsidP="00801181">
            <w:bookmarkStart w:id="0" w:name="_MON_1021710510"/>
            <w:bookmarkEnd w:id="0"/>
            <w:r w:rsidRPr="002927A1">
              <w:rPr>
                <w:noProof/>
                <w:lang w:eastAsia="es-ES_tradnl"/>
              </w:rPr>
              <w:drawing>
                <wp:inline distT="0" distB="0" distL="0" distR="0" wp14:anchorId="0EA254D1" wp14:editId="049C8D74">
                  <wp:extent cx="828040" cy="7689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2927A1">
              <w:rPr>
                <w:noProof/>
                <w:lang w:eastAsia="es-ES_tradnl"/>
              </w:rPr>
              <w:drawing>
                <wp:inline distT="0" distB="0" distL="0" distR="0" wp14:anchorId="04EB3F1C" wp14:editId="4FE0CFD7">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48" w:type="dxa"/>
            <w:tcBorders>
              <w:top w:val="single" w:sz="4" w:space="0" w:color="auto"/>
              <w:bottom w:val="single" w:sz="24" w:space="0" w:color="auto"/>
            </w:tcBorders>
          </w:tcPr>
          <w:p w14:paraId="17674A07" w14:textId="77777777" w:rsidR="008E5088" w:rsidRPr="002927A1" w:rsidRDefault="008E5088" w:rsidP="00801181">
            <w:pPr>
              <w:spacing w:before="1200"/>
              <w:rPr>
                <w:rFonts w:ascii="Arial" w:hAnsi="Arial" w:cs="Arial"/>
                <w:b/>
                <w:sz w:val="28"/>
                <w:szCs w:val="28"/>
              </w:rPr>
            </w:pPr>
            <w:r w:rsidRPr="002927A1">
              <w:rPr>
                <w:rFonts w:ascii="Arial" w:hAnsi="Arial" w:cs="Arial"/>
                <w:b/>
                <w:sz w:val="32"/>
                <w:szCs w:val="32"/>
              </w:rPr>
              <w:t xml:space="preserve">Programa de las </w:t>
            </w:r>
            <w:r w:rsidRPr="002927A1">
              <w:rPr>
                <w:rFonts w:ascii="Arial" w:hAnsi="Arial" w:cs="Arial"/>
                <w:b/>
                <w:sz w:val="32"/>
                <w:szCs w:val="32"/>
              </w:rPr>
              <w:br/>
              <w:t xml:space="preserve">Naciones Unidas </w:t>
            </w:r>
            <w:r w:rsidRPr="002927A1">
              <w:rPr>
                <w:rFonts w:ascii="Arial" w:hAnsi="Arial" w:cs="Arial"/>
                <w:b/>
                <w:sz w:val="32"/>
                <w:szCs w:val="32"/>
              </w:rPr>
              <w:br/>
              <w:t>para el Medio Ambiente</w:t>
            </w:r>
          </w:p>
        </w:tc>
        <w:tc>
          <w:tcPr>
            <w:tcW w:w="3411" w:type="dxa"/>
            <w:tcBorders>
              <w:top w:val="single" w:sz="4" w:space="0" w:color="auto"/>
              <w:bottom w:val="single" w:sz="24" w:space="0" w:color="auto"/>
            </w:tcBorders>
          </w:tcPr>
          <w:p w14:paraId="708FBC64" w14:textId="6C688D4B" w:rsidR="008E5088" w:rsidRPr="002927A1" w:rsidRDefault="008E5088" w:rsidP="00801181">
            <w:pPr>
              <w:pStyle w:val="Normal-pool"/>
              <w:spacing w:before="120"/>
              <w:rPr>
                <w:lang w:val="es-ES_tradnl"/>
              </w:rPr>
            </w:pPr>
            <w:proofErr w:type="spellStart"/>
            <w:r w:rsidRPr="002927A1">
              <w:rPr>
                <w:lang w:val="es-ES_tradnl"/>
              </w:rPr>
              <w:t>Distr</w:t>
            </w:r>
            <w:proofErr w:type="spellEnd"/>
            <w:r w:rsidRPr="002927A1">
              <w:rPr>
                <w:lang w:val="es-ES_tradnl"/>
              </w:rPr>
              <w:t>. general</w:t>
            </w:r>
            <w:r w:rsidRPr="002927A1">
              <w:rPr>
                <w:lang w:val="es-ES_tradnl"/>
              </w:rPr>
              <w:br/>
            </w:r>
            <w:r w:rsidR="003739C1">
              <w:rPr>
                <w:lang w:val="es-ES_tradnl"/>
              </w:rPr>
              <w:t>6</w:t>
            </w:r>
            <w:r w:rsidRPr="002927A1">
              <w:rPr>
                <w:lang w:val="es-ES_tradnl"/>
              </w:rPr>
              <w:t xml:space="preserve"> de </w:t>
            </w:r>
            <w:r w:rsidR="003739C1">
              <w:rPr>
                <w:lang w:val="es-ES_tradnl"/>
              </w:rPr>
              <w:t>diciembre</w:t>
            </w:r>
            <w:r w:rsidRPr="002927A1">
              <w:rPr>
                <w:lang w:val="es-ES_tradnl"/>
              </w:rPr>
              <w:t xml:space="preserve"> de </w:t>
            </w:r>
            <w:r w:rsidR="003739C1">
              <w:rPr>
                <w:lang w:val="es-ES_tradnl"/>
              </w:rPr>
              <w:t>2018</w:t>
            </w:r>
          </w:p>
          <w:p w14:paraId="553B3DF7" w14:textId="77777777" w:rsidR="008E5088" w:rsidRPr="002927A1" w:rsidRDefault="008E5088" w:rsidP="00801181">
            <w:pPr>
              <w:spacing w:before="120"/>
            </w:pPr>
            <w:r w:rsidRPr="002927A1">
              <w:t>Español</w:t>
            </w:r>
            <w:r w:rsidRPr="002927A1">
              <w:br/>
              <w:t>Original: inglés</w:t>
            </w:r>
          </w:p>
        </w:tc>
      </w:tr>
    </w:tbl>
    <w:p w14:paraId="5737B55F" w14:textId="38433221" w:rsidR="005726B0" w:rsidRPr="002927A1" w:rsidRDefault="005726B0" w:rsidP="0086474A">
      <w:pPr>
        <w:pStyle w:val="AATitle"/>
        <w:keepNext w:val="0"/>
        <w:keepLines w:val="0"/>
        <w:rPr>
          <w:lang w:val="es-ES_tradnl"/>
        </w:rPr>
      </w:pPr>
      <w:r w:rsidRPr="002927A1">
        <w:rPr>
          <w:lang w:val="es-ES_tradnl"/>
        </w:rPr>
        <w:t>Conferencia de</w:t>
      </w:r>
      <w:r w:rsidR="00966CA2" w:rsidRPr="002927A1">
        <w:rPr>
          <w:lang w:val="es-ES_tradnl"/>
        </w:rPr>
        <w:t xml:space="preserve"> las Partes en el Convenio de Mi</w:t>
      </w:r>
      <w:r w:rsidRPr="002927A1">
        <w:rPr>
          <w:lang w:val="es-ES_tradnl"/>
        </w:rPr>
        <w:t>namata sobre el Mercurio</w:t>
      </w:r>
    </w:p>
    <w:p w14:paraId="0F35D050" w14:textId="08B6C721" w:rsidR="005726B0" w:rsidRPr="002927A1" w:rsidRDefault="003739C1" w:rsidP="0086474A">
      <w:pPr>
        <w:pStyle w:val="AATitle"/>
        <w:keepNext w:val="0"/>
        <w:keepLines w:val="0"/>
        <w:rPr>
          <w:lang w:val="es-ES_tradnl"/>
        </w:rPr>
      </w:pPr>
      <w:r>
        <w:rPr>
          <w:lang w:val="es-ES_tradnl"/>
        </w:rPr>
        <w:t>Segund</w:t>
      </w:r>
      <w:r w:rsidR="005726B0" w:rsidRPr="002927A1">
        <w:rPr>
          <w:lang w:val="es-ES_tradnl"/>
        </w:rPr>
        <w:t>a reunión</w:t>
      </w:r>
    </w:p>
    <w:p w14:paraId="1E853587" w14:textId="5D9BEC01" w:rsidR="005726B0" w:rsidRPr="002927A1" w:rsidRDefault="005726B0" w:rsidP="0086474A">
      <w:pPr>
        <w:pStyle w:val="AATitle"/>
        <w:keepNext w:val="0"/>
        <w:keepLines w:val="0"/>
        <w:rPr>
          <w:b w:val="0"/>
          <w:lang w:val="es-ES_tradnl"/>
        </w:rPr>
      </w:pPr>
      <w:r w:rsidRPr="002927A1">
        <w:rPr>
          <w:b w:val="0"/>
          <w:lang w:val="es-ES_tradnl"/>
        </w:rPr>
        <w:t xml:space="preserve">Ginebra, </w:t>
      </w:r>
      <w:r w:rsidR="003739C1">
        <w:rPr>
          <w:b w:val="0"/>
          <w:lang w:val="es-ES_tradnl"/>
        </w:rPr>
        <w:t>19</w:t>
      </w:r>
      <w:r w:rsidRPr="002927A1">
        <w:rPr>
          <w:b w:val="0"/>
          <w:lang w:val="es-ES_tradnl"/>
        </w:rPr>
        <w:t xml:space="preserve"> a </w:t>
      </w:r>
      <w:r w:rsidR="003739C1">
        <w:rPr>
          <w:b w:val="0"/>
          <w:lang w:val="es-ES_tradnl"/>
        </w:rPr>
        <w:t>23</w:t>
      </w:r>
      <w:r w:rsidRPr="002927A1">
        <w:rPr>
          <w:b w:val="0"/>
          <w:lang w:val="es-ES_tradnl"/>
        </w:rPr>
        <w:t xml:space="preserve"> de noviembre de 201</w:t>
      </w:r>
      <w:r w:rsidR="003739C1">
        <w:rPr>
          <w:b w:val="0"/>
          <w:lang w:val="es-ES_tradnl"/>
        </w:rPr>
        <w:t>8</w:t>
      </w:r>
    </w:p>
    <w:p w14:paraId="699814FA" w14:textId="2AA6BBA4" w:rsidR="0099003C" w:rsidRPr="002927A1" w:rsidRDefault="00530A2C" w:rsidP="0099003C">
      <w:pPr>
        <w:pStyle w:val="BBTitle"/>
        <w:rPr>
          <w:lang w:val="es-ES_tradnl"/>
        </w:rPr>
      </w:pPr>
      <w:r>
        <w:rPr>
          <w:bCs/>
          <w:lang w:val="es-ES_tradnl"/>
        </w:rPr>
        <w:t xml:space="preserve">Decisión adoptada por la </w:t>
      </w:r>
      <w:r w:rsidR="003739C1">
        <w:rPr>
          <w:bCs/>
          <w:lang w:val="es-ES_tradnl"/>
        </w:rPr>
        <w:t>segund</w:t>
      </w:r>
      <w:r>
        <w:rPr>
          <w:bCs/>
          <w:lang w:val="es-ES_tradnl"/>
        </w:rPr>
        <w:t>a</w:t>
      </w:r>
      <w:r w:rsidR="005726B0" w:rsidRPr="002927A1">
        <w:rPr>
          <w:bCs/>
          <w:lang w:val="es-ES_tradnl"/>
        </w:rPr>
        <w:t xml:space="preserve"> Conferencia de las Partes en el Convenio de Minamata sobre el Mercurio</w:t>
      </w:r>
    </w:p>
    <w:p w14:paraId="55AA1BF3" w14:textId="6D1AEA22" w:rsidR="00CB2628" w:rsidRDefault="00D60B22" w:rsidP="00252717">
      <w:pPr>
        <w:pStyle w:val="AATitle"/>
        <w:keepNext w:val="0"/>
        <w:keepLines w:val="0"/>
        <w:spacing w:before="240" w:after="120"/>
        <w:rPr>
          <w:lang w:val="es-ES_tradnl"/>
        </w:rPr>
      </w:pPr>
      <w:r w:rsidRPr="002927A1">
        <w:rPr>
          <w:bCs/>
          <w:sz w:val="24"/>
          <w:szCs w:val="24"/>
          <w:lang w:val="es-ES_tradnl"/>
        </w:rPr>
        <w:tab/>
      </w:r>
      <w:r w:rsidR="005726B0" w:rsidRPr="002927A1">
        <w:rPr>
          <w:lang w:val="es-ES_tradnl"/>
        </w:rPr>
        <w:t xml:space="preserve"> </w:t>
      </w:r>
    </w:p>
    <w:p w14:paraId="10FFE91C" w14:textId="77777777" w:rsidR="006E697A" w:rsidRPr="006E697A" w:rsidRDefault="006E697A" w:rsidP="006E697A">
      <w:pPr>
        <w:pStyle w:val="CH1"/>
        <w:rPr>
          <w:lang w:val="es-ES"/>
        </w:rPr>
      </w:pPr>
      <w:r w:rsidRPr="00D632D2">
        <w:rPr>
          <w:bCs/>
        </w:rPr>
        <w:tab/>
      </w:r>
      <w:r w:rsidRPr="00D632D2">
        <w:rPr>
          <w:bCs/>
        </w:rPr>
        <w:tab/>
      </w:r>
      <w:bookmarkStart w:id="1" w:name="_Toc13068823"/>
      <w:bookmarkStart w:id="2" w:name="_Toc13072387"/>
      <w:bookmarkStart w:id="3" w:name="_Toc13135491"/>
      <w:r w:rsidRPr="006E697A">
        <w:rPr>
          <w:bCs/>
          <w:lang w:val="es-ES"/>
        </w:rPr>
        <w:t>MC-2/10: Evaluación de la eficacia</w:t>
      </w:r>
      <w:bookmarkEnd w:id="1"/>
      <w:bookmarkEnd w:id="2"/>
      <w:bookmarkEnd w:id="3"/>
    </w:p>
    <w:p w14:paraId="449E9D4E" w14:textId="77777777" w:rsidR="006E697A" w:rsidRPr="006E697A" w:rsidRDefault="006E697A" w:rsidP="006E697A">
      <w:pPr>
        <w:pStyle w:val="NormalNonumber"/>
        <w:tabs>
          <w:tab w:val="clear" w:pos="1247"/>
          <w:tab w:val="clear" w:pos="1814"/>
          <w:tab w:val="clear" w:pos="2381"/>
          <w:tab w:val="clear" w:pos="2948"/>
          <w:tab w:val="clear" w:pos="3515"/>
          <w:tab w:val="clear" w:pos="4082"/>
          <w:tab w:val="left" w:pos="624"/>
        </w:tabs>
        <w:ind w:firstLine="624"/>
        <w:rPr>
          <w:lang w:val="es-ES"/>
        </w:rPr>
      </w:pPr>
      <w:r w:rsidRPr="006E697A">
        <w:rPr>
          <w:i/>
          <w:iCs/>
          <w:lang w:val="es-ES"/>
        </w:rPr>
        <w:t>La Conferencia de las Partes,</w:t>
      </w:r>
    </w:p>
    <w:p w14:paraId="140593C7" w14:textId="77777777" w:rsidR="006E697A" w:rsidRPr="006E697A" w:rsidRDefault="006E697A" w:rsidP="006E697A">
      <w:pPr>
        <w:pStyle w:val="NormalNonumber"/>
        <w:tabs>
          <w:tab w:val="clear" w:pos="1247"/>
          <w:tab w:val="clear" w:pos="1814"/>
          <w:tab w:val="clear" w:pos="2381"/>
          <w:tab w:val="clear" w:pos="2948"/>
          <w:tab w:val="clear" w:pos="3515"/>
          <w:tab w:val="clear" w:pos="4082"/>
          <w:tab w:val="left" w:pos="624"/>
        </w:tabs>
        <w:ind w:firstLine="624"/>
        <w:rPr>
          <w:lang w:val="es-ES"/>
        </w:rPr>
      </w:pPr>
      <w:r w:rsidRPr="006E697A">
        <w:rPr>
          <w:i/>
          <w:iCs/>
          <w:lang w:val="es-ES"/>
        </w:rPr>
        <w:t>Reafirmando</w:t>
      </w:r>
      <w:r w:rsidRPr="006E697A">
        <w:rPr>
          <w:lang w:val="es-ES"/>
        </w:rPr>
        <w:t xml:space="preserve"> que la evaluación de la eficacia debe evaluar la eficacia general del Convenio a nivel mundial teniendo en cuenta el objetivo del Convenio de Minamata sobre el Mercurio (artículo 1), </w:t>
      </w:r>
    </w:p>
    <w:p w14:paraId="3502F5FC" w14:textId="77777777" w:rsidR="006E697A" w:rsidRPr="006E697A" w:rsidRDefault="006E697A" w:rsidP="006E697A">
      <w:pPr>
        <w:pStyle w:val="NormalNonumber"/>
        <w:tabs>
          <w:tab w:val="clear" w:pos="1247"/>
          <w:tab w:val="clear" w:pos="1814"/>
          <w:tab w:val="clear" w:pos="2381"/>
          <w:tab w:val="clear" w:pos="2948"/>
          <w:tab w:val="clear" w:pos="3515"/>
          <w:tab w:val="clear" w:pos="4082"/>
          <w:tab w:val="left" w:pos="624"/>
        </w:tabs>
        <w:ind w:firstLine="624"/>
        <w:rPr>
          <w:lang w:val="es-ES"/>
        </w:rPr>
      </w:pPr>
      <w:r w:rsidRPr="006E697A">
        <w:rPr>
          <w:i/>
          <w:iCs/>
          <w:lang w:val="es-ES"/>
        </w:rPr>
        <w:t>Reconociendo con aprecio</w:t>
      </w:r>
      <w:r w:rsidRPr="006E697A">
        <w:rPr>
          <w:lang w:val="es-ES"/>
        </w:rPr>
        <w:t xml:space="preserve"> el informe preparado por el grupo especial de expertos técnicos sobre evaluación de la eficacia</w:t>
      </w:r>
      <w:r w:rsidRPr="00D632D2">
        <w:rPr>
          <w:rStyle w:val="FootnoteReference"/>
          <w:rFonts w:eastAsiaTheme="minorEastAsia"/>
        </w:rPr>
        <w:footnoteReference w:id="2"/>
      </w:r>
      <w:r w:rsidRPr="006E697A">
        <w:rPr>
          <w:lang w:val="es-ES"/>
        </w:rPr>
        <w:t>,</w:t>
      </w:r>
    </w:p>
    <w:p w14:paraId="4DA3A355" w14:textId="77777777" w:rsidR="006E697A" w:rsidRPr="006E697A" w:rsidRDefault="006E697A" w:rsidP="006E697A">
      <w:pPr>
        <w:pStyle w:val="NormalNonumber"/>
        <w:tabs>
          <w:tab w:val="clear" w:pos="1247"/>
          <w:tab w:val="clear" w:pos="1814"/>
          <w:tab w:val="clear" w:pos="2381"/>
          <w:tab w:val="clear" w:pos="2948"/>
          <w:tab w:val="clear" w:pos="3515"/>
          <w:tab w:val="clear" w:pos="4082"/>
          <w:tab w:val="left" w:pos="624"/>
        </w:tabs>
        <w:ind w:firstLine="624"/>
        <w:rPr>
          <w:lang w:val="es-ES"/>
        </w:rPr>
      </w:pPr>
      <w:r w:rsidRPr="006E697A">
        <w:rPr>
          <w:i/>
          <w:iCs/>
          <w:lang w:val="es-ES"/>
        </w:rPr>
        <w:t>Observando</w:t>
      </w:r>
      <w:r w:rsidRPr="006E697A">
        <w:rPr>
          <w:lang w:val="es-ES"/>
        </w:rPr>
        <w:t xml:space="preserve"> que el proyecto de informe del grupo especial de expertos técnicos indica que existen programas de vigilancia que podrían hacer aportaciones a la evaluación de la eficacia y que esos programas de vigilancia se pueden seguir fortaleciendo con arreglo al espíritu del artículo 19 del Convenio, en el cual se alienta a las Partes a cooperar en la elaboración y el mejoramiento de modelos y la vigilancia geográficamente representativa,</w:t>
      </w:r>
    </w:p>
    <w:p w14:paraId="19BDC51B" w14:textId="77777777" w:rsidR="006E697A" w:rsidRPr="006E697A" w:rsidRDefault="006E697A" w:rsidP="006E697A">
      <w:pPr>
        <w:pStyle w:val="NormalNonumber"/>
        <w:tabs>
          <w:tab w:val="clear" w:pos="1247"/>
          <w:tab w:val="clear" w:pos="1814"/>
          <w:tab w:val="clear" w:pos="2381"/>
          <w:tab w:val="clear" w:pos="2948"/>
          <w:tab w:val="clear" w:pos="3515"/>
          <w:tab w:val="clear" w:pos="4082"/>
          <w:tab w:val="left" w:pos="624"/>
        </w:tabs>
        <w:ind w:firstLine="624"/>
        <w:rPr>
          <w:lang w:val="es-ES"/>
        </w:rPr>
      </w:pPr>
      <w:r w:rsidRPr="006E697A">
        <w:rPr>
          <w:lang w:val="es-ES"/>
        </w:rPr>
        <w:tab/>
      </w:r>
      <w:r w:rsidRPr="006E697A">
        <w:rPr>
          <w:i/>
          <w:iCs/>
          <w:lang w:val="es-ES"/>
        </w:rPr>
        <w:t>Observando también</w:t>
      </w:r>
      <w:r w:rsidRPr="006E697A">
        <w:rPr>
          <w:lang w:val="es-ES"/>
        </w:rPr>
        <w:t xml:space="preserve"> que en el proyecto de informe también se indica que existen importantes lagunas de datos en diversas regiones del mundo, y que subsanar esas lagunas mediante programas de vigilancia existentes o nuevos contribuiría a la eficacia de la evaluación,</w:t>
      </w:r>
    </w:p>
    <w:p w14:paraId="203F4C64" w14:textId="77777777" w:rsidR="006E697A" w:rsidRPr="006E697A" w:rsidRDefault="006E697A" w:rsidP="009D5F04">
      <w:pPr>
        <w:pStyle w:val="Normalnumber"/>
        <w:numPr>
          <w:ilvl w:val="0"/>
          <w:numId w:val="16"/>
        </w:numPr>
        <w:ind w:left="1276" w:firstLine="567"/>
        <w:rPr>
          <w:lang w:val="es-ES"/>
        </w:rPr>
      </w:pPr>
      <w:r w:rsidRPr="006E697A">
        <w:rPr>
          <w:i/>
          <w:iCs/>
          <w:lang w:val="es-ES"/>
        </w:rPr>
        <w:t>Prorroga</w:t>
      </w:r>
      <w:r w:rsidRPr="006E697A">
        <w:rPr>
          <w:lang w:val="es-ES"/>
        </w:rPr>
        <w:t xml:space="preserve"> el mandato del grupo especial de expertos técnicos establecido en la decisión MC</w:t>
      </w:r>
      <w:r w:rsidRPr="006E697A">
        <w:rPr>
          <w:lang w:val="es-ES"/>
        </w:rPr>
        <w:noBreakHyphen/>
        <w:t>1/9 para abordar las cuestiones señaladas en el anexo I de la presente decisión;</w:t>
      </w:r>
    </w:p>
    <w:p w14:paraId="376258EB" w14:textId="77777777" w:rsidR="006E697A" w:rsidRPr="006E697A" w:rsidRDefault="006E697A" w:rsidP="009D5F04">
      <w:pPr>
        <w:pStyle w:val="Normalnumber"/>
        <w:numPr>
          <w:ilvl w:val="0"/>
          <w:numId w:val="16"/>
        </w:numPr>
        <w:ind w:left="1276" w:firstLine="567"/>
        <w:rPr>
          <w:lang w:val="es-ES"/>
        </w:rPr>
      </w:pPr>
      <w:r w:rsidRPr="006E697A">
        <w:rPr>
          <w:i/>
          <w:iCs/>
          <w:lang w:val="es-ES"/>
        </w:rPr>
        <w:t>Aprueba</w:t>
      </w:r>
      <w:r w:rsidRPr="006E697A">
        <w:rPr>
          <w:lang w:val="es-ES"/>
        </w:rPr>
        <w:t xml:space="preserve"> el proyecto de hoja de ruta que se enuncia en el anexo II de la presente decisión;</w:t>
      </w:r>
    </w:p>
    <w:p w14:paraId="52F9F8E0" w14:textId="77777777" w:rsidR="006E697A" w:rsidRPr="006E697A" w:rsidRDefault="006E697A" w:rsidP="009D5F04">
      <w:pPr>
        <w:pStyle w:val="Normalnumber"/>
        <w:numPr>
          <w:ilvl w:val="0"/>
          <w:numId w:val="16"/>
        </w:numPr>
        <w:ind w:left="1276" w:firstLine="567"/>
        <w:rPr>
          <w:lang w:val="es-ES"/>
        </w:rPr>
      </w:pPr>
      <w:r w:rsidRPr="006E697A">
        <w:rPr>
          <w:i/>
          <w:iCs/>
          <w:lang w:val="es-ES"/>
        </w:rPr>
        <w:t>Solicita</w:t>
      </w:r>
      <w:r w:rsidRPr="006E697A">
        <w:rPr>
          <w:lang w:val="es-ES"/>
        </w:rPr>
        <w:t xml:space="preserve"> al grupo especial de expertos técnicos que elabore un mandato relativo a arreglos de vigilancia a nivel mundial;</w:t>
      </w:r>
    </w:p>
    <w:p w14:paraId="5ACD8A7B" w14:textId="77777777" w:rsidR="006E697A" w:rsidRPr="006E697A" w:rsidRDefault="006E697A" w:rsidP="009D5F04">
      <w:pPr>
        <w:pStyle w:val="Normalnumber"/>
        <w:numPr>
          <w:ilvl w:val="0"/>
          <w:numId w:val="16"/>
        </w:numPr>
        <w:ind w:left="1276" w:firstLine="567"/>
        <w:rPr>
          <w:lang w:val="es-ES"/>
        </w:rPr>
      </w:pPr>
      <w:r w:rsidRPr="006E697A">
        <w:rPr>
          <w:i/>
          <w:iCs/>
          <w:lang w:val="es-ES"/>
        </w:rPr>
        <w:t>Solicita</w:t>
      </w:r>
      <w:r w:rsidRPr="006E697A">
        <w:rPr>
          <w:lang w:val="es-ES"/>
        </w:rPr>
        <w:t xml:space="preserve"> a las Partes, a otros Gobiernos y a las organizaciones pertinentes que sigan proporcionando información sobre sus programas de vigilancia a la Secretaría antes de la tercera reunión de la Conferencia de las Partes; </w:t>
      </w:r>
    </w:p>
    <w:p w14:paraId="1A467A1C" w14:textId="77777777" w:rsidR="006E697A" w:rsidRPr="006E697A" w:rsidRDefault="006E697A" w:rsidP="009D5F04">
      <w:pPr>
        <w:pStyle w:val="Normalnumber"/>
        <w:numPr>
          <w:ilvl w:val="0"/>
          <w:numId w:val="16"/>
        </w:numPr>
        <w:ind w:left="1276" w:firstLine="567"/>
        <w:rPr>
          <w:lang w:val="es-ES"/>
        </w:rPr>
      </w:pPr>
      <w:r w:rsidRPr="006E697A">
        <w:rPr>
          <w:i/>
          <w:iCs/>
          <w:lang w:val="es-ES"/>
        </w:rPr>
        <w:t>Solicita</w:t>
      </w:r>
      <w:r w:rsidRPr="006E697A">
        <w:rPr>
          <w:lang w:val="es-ES"/>
        </w:rPr>
        <w:t xml:space="preserve"> a la Secretaría que apoye la labor que se esboza en los anexos I y II de la presente decisión;</w:t>
      </w:r>
    </w:p>
    <w:p w14:paraId="1CC74D74" w14:textId="77777777" w:rsidR="006E697A" w:rsidRPr="006E697A" w:rsidRDefault="006E697A" w:rsidP="009D5F04">
      <w:pPr>
        <w:pStyle w:val="Normalnumber"/>
        <w:numPr>
          <w:ilvl w:val="0"/>
          <w:numId w:val="16"/>
        </w:numPr>
        <w:ind w:left="1276" w:firstLine="567"/>
        <w:rPr>
          <w:lang w:val="es-ES"/>
        </w:rPr>
      </w:pPr>
      <w:r w:rsidRPr="006E697A">
        <w:rPr>
          <w:i/>
          <w:iCs/>
          <w:lang w:val="es-ES"/>
        </w:rPr>
        <w:lastRenderedPageBreak/>
        <w:t>Solicita</w:t>
      </w:r>
      <w:r w:rsidRPr="006E697A">
        <w:rPr>
          <w:lang w:val="es-ES"/>
        </w:rPr>
        <w:t xml:space="preserve"> al grupo especial de expertos técnicos que informe a la Conferencia de las Partes en su tercera reunión acerca de los progresos realizados en relación con el mejoramiento del marco de evaluación del Convenio, incluidos los arreglos de vigilancia; </w:t>
      </w:r>
    </w:p>
    <w:p w14:paraId="24F32758" w14:textId="77777777" w:rsidR="006E697A" w:rsidRPr="006E697A" w:rsidRDefault="006E697A" w:rsidP="009D5F04">
      <w:pPr>
        <w:pStyle w:val="Normalnumber"/>
        <w:numPr>
          <w:ilvl w:val="0"/>
          <w:numId w:val="16"/>
        </w:numPr>
        <w:ind w:left="1276" w:firstLine="567"/>
        <w:rPr>
          <w:lang w:val="es-ES"/>
        </w:rPr>
      </w:pPr>
      <w:r w:rsidRPr="006E697A">
        <w:rPr>
          <w:i/>
          <w:iCs/>
          <w:lang w:val="es-ES"/>
        </w:rPr>
        <w:t>Invita</w:t>
      </w:r>
      <w:r w:rsidRPr="006E697A">
        <w:rPr>
          <w:lang w:val="es-ES"/>
        </w:rPr>
        <w:t xml:space="preserve"> al Fondo para el Medio Ambiente Mundial a que, de conformidad con su mandato, </w:t>
      </w:r>
      <w:bookmarkStart w:id="4" w:name="_GoBack"/>
      <w:bookmarkEnd w:id="4"/>
      <w:r w:rsidRPr="006E697A">
        <w:rPr>
          <w:lang w:val="es-ES"/>
        </w:rPr>
        <w:t>considere, en el contexto de la orientación impartida por la Conferencia de las Partes, apoyar a las Partes que reúnan los requisitos en la recopilación de datos esenciales y facilitar la aportación sostenible de información de vigilancia a los niveles local, subregional, regional y mundial, para contribuir a la evaluación de la eficacia, en consonancia con la orientación del Fondo.</w:t>
      </w:r>
    </w:p>
    <w:p w14:paraId="1F392A65" w14:textId="77777777" w:rsidR="006E697A" w:rsidRPr="006E697A" w:rsidRDefault="006E697A" w:rsidP="006E697A">
      <w:pPr>
        <w:pStyle w:val="CH2"/>
        <w:rPr>
          <w:lang w:val="es-ES"/>
        </w:rPr>
      </w:pPr>
      <w:r w:rsidRPr="006E697A">
        <w:rPr>
          <w:lang w:val="es-ES"/>
        </w:rPr>
        <w:tab/>
      </w:r>
      <w:r w:rsidRPr="006E697A">
        <w:rPr>
          <w:lang w:val="es-ES"/>
        </w:rPr>
        <w:tab/>
      </w:r>
      <w:r w:rsidRPr="006E697A">
        <w:rPr>
          <w:bCs/>
          <w:lang w:val="es-ES"/>
        </w:rPr>
        <w:t>Anexo I de la decisión MC-2/10</w:t>
      </w:r>
    </w:p>
    <w:p w14:paraId="6F1C2CD8" w14:textId="77777777" w:rsidR="006E697A" w:rsidRPr="006E697A" w:rsidRDefault="006E697A" w:rsidP="006E697A">
      <w:pPr>
        <w:pStyle w:val="CH2"/>
        <w:rPr>
          <w:lang w:val="es-ES"/>
        </w:rPr>
      </w:pPr>
      <w:r w:rsidRPr="006E697A">
        <w:rPr>
          <w:lang w:val="es-ES"/>
        </w:rPr>
        <w:tab/>
      </w:r>
      <w:r w:rsidRPr="006E697A">
        <w:rPr>
          <w:lang w:val="es-ES"/>
        </w:rPr>
        <w:tab/>
      </w:r>
      <w:r w:rsidRPr="006E697A">
        <w:rPr>
          <w:bCs/>
          <w:lang w:val="es-ES"/>
        </w:rPr>
        <w:t>Mandato modificado del grupo especial de expertos técnicos sobre evaluación de la eficacia</w:t>
      </w:r>
      <w:r w:rsidRPr="00D632D2">
        <w:rPr>
          <w:vertAlign w:val="superscript"/>
        </w:rPr>
        <w:footnoteReference w:id="3"/>
      </w:r>
    </w:p>
    <w:p w14:paraId="26F1579A" w14:textId="77777777" w:rsidR="006E697A" w:rsidRPr="00D632D2" w:rsidRDefault="006E697A" w:rsidP="006E697A">
      <w:pPr>
        <w:pStyle w:val="CH1"/>
      </w:pPr>
      <w:r w:rsidRPr="006E697A">
        <w:rPr>
          <w:lang w:val="es-ES"/>
        </w:rPr>
        <w:tab/>
      </w:r>
      <w:bookmarkStart w:id="5" w:name="_Toc13068824"/>
      <w:bookmarkStart w:id="6" w:name="_Toc13072388"/>
      <w:bookmarkStart w:id="7" w:name="_Toc13135492"/>
      <w:r w:rsidRPr="00D632D2">
        <w:t>I.</w:t>
      </w:r>
      <w:r w:rsidRPr="00D632D2">
        <w:tab/>
      </w:r>
      <w:proofErr w:type="spellStart"/>
      <w:r w:rsidRPr="00D632D2">
        <w:rPr>
          <w:bCs/>
        </w:rPr>
        <w:t>Mandato</w:t>
      </w:r>
      <w:proofErr w:type="spellEnd"/>
      <w:r w:rsidRPr="00D632D2">
        <w:rPr>
          <w:bCs/>
        </w:rPr>
        <w:t xml:space="preserve"> </w:t>
      </w:r>
      <w:proofErr w:type="spellStart"/>
      <w:r w:rsidRPr="00D632D2">
        <w:rPr>
          <w:bCs/>
        </w:rPr>
        <w:t>modificado</w:t>
      </w:r>
      <w:bookmarkStart w:id="8" w:name="_Toc7079451"/>
      <w:bookmarkEnd w:id="5"/>
      <w:bookmarkEnd w:id="6"/>
      <w:bookmarkEnd w:id="7"/>
      <w:bookmarkEnd w:id="8"/>
      <w:proofErr w:type="spellEnd"/>
    </w:p>
    <w:p w14:paraId="13BA6F9D" w14:textId="77777777" w:rsidR="006E697A" w:rsidRPr="00D632D2" w:rsidRDefault="006E697A" w:rsidP="009D5F04">
      <w:pPr>
        <w:pStyle w:val="Text"/>
        <w:numPr>
          <w:ilvl w:val="0"/>
          <w:numId w:val="18"/>
        </w:numPr>
        <w:suppressAutoHyphens/>
        <w:spacing w:after="120" w:line="240" w:lineRule="auto"/>
        <w:ind w:left="1247" w:firstLine="0"/>
        <w:rPr>
          <w:noProof/>
          <w:lang w:val="es-ES_tradnl"/>
        </w:rPr>
      </w:pPr>
      <w:r w:rsidRPr="00D632D2">
        <w:rPr>
          <w:noProof/>
          <w:lang w:val="es-ES_tradnl"/>
        </w:rPr>
        <w:t>El grupo especial de expertos técnicos seguirá elaborando el documento UNEP/MC/COP.2/INF/8 de conformidad con el esquema siguiente:</w:t>
      </w:r>
    </w:p>
    <w:p w14:paraId="72588424" w14:textId="77777777" w:rsidR="006E697A" w:rsidRPr="00D632D2" w:rsidRDefault="006E697A" w:rsidP="009D5F04">
      <w:pPr>
        <w:pStyle w:val="Text"/>
        <w:numPr>
          <w:ilvl w:val="0"/>
          <w:numId w:val="14"/>
        </w:numPr>
        <w:tabs>
          <w:tab w:val="left" w:pos="624"/>
        </w:tabs>
        <w:spacing w:after="120" w:line="240" w:lineRule="auto"/>
        <w:ind w:left="1247" w:firstLine="624"/>
        <w:rPr>
          <w:noProof/>
          <w:lang w:val="es-ES_tradnl"/>
        </w:rPr>
      </w:pPr>
      <w:r w:rsidRPr="00D632D2">
        <w:rPr>
          <w:noProof/>
          <w:lang w:val="es-ES_tradnl"/>
        </w:rPr>
        <w:t>Resumen</w:t>
      </w:r>
    </w:p>
    <w:p w14:paraId="48D25C6D" w14:textId="77777777" w:rsidR="006E697A" w:rsidRPr="00D632D2" w:rsidRDefault="006E697A" w:rsidP="009D5F04">
      <w:pPr>
        <w:pStyle w:val="Text"/>
        <w:numPr>
          <w:ilvl w:val="0"/>
          <w:numId w:val="14"/>
        </w:numPr>
        <w:tabs>
          <w:tab w:val="left" w:pos="624"/>
        </w:tabs>
        <w:spacing w:after="120" w:line="240" w:lineRule="auto"/>
        <w:ind w:left="1247" w:firstLine="624"/>
        <w:rPr>
          <w:noProof/>
          <w:lang w:val="es-ES_tradnl"/>
        </w:rPr>
      </w:pPr>
      <w:r w:rsidRPr="00D632D2">
        <w:rPr>
          <w:noProof/>
          <w:lang w:val="es-ES_tradnl"/>
        </w:rPr>
        <w:t>Introducción</w:t>
      </w:r>
    </w:p>
    <w:p w14:paraId="4930AB79" w14:textId="77777777" w:rsidR="006E697A" w:rsidRPr="00D632D2" w:rsidRDefault="006E697A" w:rsidP="009D5F04">
      <w:pPr>
        <w:pStyle w:val="Text"/>
        <w:numPr>
          <w:ilvl w:val="0"/>
          <w:numId w:val="14"/>
        </w:numPr>
        <w:tabs>
          <w:tab w:val="left" w:pos="624"/>
        </w:tabs>
        <w:spacing w:after="120" w:line="240" w:lineRule="auto"/>
        <w:ind w:left="1247" w:firstLine="624"/>
        <w:rPr>
          <w:noProof/>
          <w:lang w:val="es-ES_tradnl"/>
        </w:rPr>
      </w:pPr>
      <w:r w:rsidRPr="00D632D2">
        <w:rPr>
          <w:noProof/>
          <w:lang w:val="es-ES_tradnl"/>
        </w:rPr>
        <w:t>Descripción del marco de evaluación de la eficacia</w:t>
      </w:r>
    </w:p>
    <w:p w14:paraId="6B2F0DAE" w14:textId="77777777" w:rsidR="006E697A" w:rsidRPr="00D632D2" w:rsidRDefault="006E697A" w:rsidP="009D5F04">
      <w:pPr>
        <w:pStyle w:val="Text"/>
        <w:numPr>
          <w:ilvl w:val="0"/>
          <w:numId w:val="14"/>
        </w:numPr>
        <w:tabs>
          <w:tab w:val="left" w:pos="624"/>
        </w:tabs>
        <w:spacing w:after="120" w:line="240" w:lineRule="auto"/>
        <w:ind w:left="1247" w:firstLine="624"/>
        <w:rPr>
          <w:noProof/>
          <w:lang w:val="es-ES_tradnl"/>
        </w:rPr>
      </w:pPr>
      <w:r w:rsidRPr="00D632D2">
        <w:rPr>
          <w:noProof/>
          <w:lang w:val="es-ES_tradnl"/>
        </w:rPr>
        <w:t>Metodología y periodicidad de la evaluación propuestas</w:t>
      </w:r>
    </w:p>
    <w:p w14:paraId="072CCC6B" w14:textId="77777777" w:rsidR="006E697A" w:rsidRPr="00D632D2" w:rsidRDefault="006E697A" w:rsidP="009D5F04">
      <w:pPr>
        <w:pStyle w:val="Text"/>
        <w:numPr>
          <w:ilvl w:val="0"/>
          <w:numId w:val="14"/>
        </w:numPr>
        <w:tabs>
          <w:tab w:val="left" w:pos="624"/>
        </w:tabs>
        <w:spacing w:after="120" w:line="240" w:lineRule="auto"/>
        <w:ind w:left="1247" w:firstLine="624"/>
        <w:rPr>
          <w:noProof/>
          <w:lang w:val="es-ES_tradnl"/>
        </w:rPr>
      </w:pPr>
      <w:r w:rsidRPr="00D632D2">
        <w:rPr>
          <w:noProof/>
          <w:lang w:val="es-ES_tradnl"/>
        </w:rPr>
        <w:t xml:space="preserve">Cuestiones que habría que seguir examinando, si las hubiese </w:t>
      </w:r>
    </w:p>
    <w:p w14:paraId="5CAAD041" w14:textId="77777777" w:rsidR="006E697A" w:rsidRPr="00D632D2" w:rsidRDefault="006E697A" w:rsidP="009D5F04">
      <w:pPr>
        <w:pStyle w:val="Text"/>
        <w:numPr>
          <w:ilvl w:val="0"/>
          <w:numId w:val="14"/>
        </w:numPr>
        <w:tabs>
          <w:tab w:val="left" w:pos="624"/>
        </w:tabs>
        <w:spacing w:after="120" w:line="240" w:lineRule="auto"/>
        <w:ind w:left="1247" w:firstLine="624"/>
        <w:rPr>
          <w:noProof/>
          <w:lang w:val="es-ES_tradnl"/>
        </w:rPr>
      </w:pPr>
      <w:r w:rsidRPr="00D632D2">
        <w:rPr>
          <w:noProof/>
          <w:lang w:val="es-ES_tradnl"/>
        </w:rPr>
        <w:t>Anexo I: información técnica sobre la vigilancia, si la hubiese</w:t>
      </w:r>
    </w:p>
    <w:p w14:paraId="20042DF9" w14:textId="77777777" w:rsidR="006E697A" w:rsidRPr="00D632D2" w:rsidRDefault="006E697A" w:rsidP="009D5F04">
      <w:pPr>
        <w:pStyle w:val="Text"/>
        <w:numPr>
          <w:ilvl w:val="0"/>
          <w:numId w:val="14"/>
        </w:numPr>
        <w:tabs>
          <w:tab w:val="left" w:pos="624"/>
        </w:tabs>
        <w:spacing w:after="120" w:line="240" w:lineRule="auto"/>
        <w:ind w:left="1247" w:firstLine="624"/>
        <w:rPr>
          <w:noProof/>
          <w:lang w:val="es-ES_tradnl"/>
        </w:rPr>
      </w:pPr>
      <w:r w:rsidRPr="00D632D2">
        <w:rPr>
          <w:noProof/>
          <w:lang w:val="es-ES_tradnl"/>
        </w:rPr>
        <w:t>Anexo II: proyecto de mandato del comité de evaluación de la eficacia</w:t>
      </w:r>
    </w:p>
    <w:p w14:paraId="5B64738F" w14:textId="77777777" w:rsidR="006E697A" w:rsidRPr="00D632D2" w:rsidRDefault="006E697A" w:rsidP="009D5F04">
      <w:pPr>
        <w:pStyle w:val="Text"/>
        <w:numPr>
          <w:ilvl w:val="0"/>
          <w:numId w:val="14"/>
        </w:numPr>
        <w:tabs>
          <w:tab w:val="left" w:pos="624"/>
        </w:tabs>
        <w:spacing w:after="120" w:line="240" w:lineRule="auto"/>
        <w:ind w:left="1247" w:firstLine="624"/>
        <w:rPr>
          <w:noProof/>
          <w:lang w:val="es-ES_tradnl"/>
        </w:rPr>
      </w:pPr>
      <w:r w:rsidRPr="00D632D2">
        <w:rPr>
          <w:noProof/>
          <w:lang w:val="es-ES_tradnl"/>
        </w:rPr>
        <w:t>Anexo III: proyecto de mandato de los arreglos de vigilancia a nivel mundial</w:t>
      </w:r>
    </w:p>
    <w:p w14:paraId="37B22771" w14:textId="77777777" w:rsidR="006E697A" w:rsidRPr="00D632D2" w:rsidRDefault="006E697A" w:rsidP="009D5F04">
      <w:pPr>
        <w:pStyle w:val="Text"/>
        <w:numPr>
          <w:ilvl w:val="0"/>
          <w:numId w:val="18"/>
        </w:numPr>
        <w:suppressAutoHyphens/>
        <w:spacing w:after="120" w:line="240" w:lineRule="auto"/>
        <w:ind w:left="1247" w:firstLine="0"/>
        <w:rPr>
          <w:noProof/>
          <w:lang w:val="es-ES_tradnl"/>
        </w:rPr>
      </w:pPr>
      <w:r w:rsidRPr="00D632D2">
        <w:rPr>
          <w:noProof/>
          <w:lang w:val="es-ES_tradnl"/>
        </w:rPr>
        <w:t>Con respecto al marco de evaluación de la eficacia, el grupo especial de expertos técnicos:</w:t>
      </w:r>
    </w:p>
    <w:p w14:paraId="489FE282" w14:textId="77777777" w:rsidR="006E697A" w:rsidRPr="00D632D2" w:rsidRDefault="006E697A" w:rsidP="009D5F04">
      <w:pPr>
        <w:pStyle w:val="Text"/>
        <w:numPr>
          <w:ilvl w:val="0"/>
          <w:numId w:val="15"/>
        </w:numPr>
        <w:tabs>
          <w:tab w:val="left" w:pos="624"/>
        </w:tabs>
        <w:spacing w:after="120" w:line="240" w:lineRule="auto"/>
        <w:ind w:left="1247" w:firstLine="624"/>
        <w:rPr>
          <w:noProof/>
          <w:lang w:val="es-ES_tradnl"/>
        </w:rPr>
      </w:pPr>
      <w:r w:rsidRPr="00D632D2">
        <w:rPr>
          <w:noProof/>
          <w:lang w:val="es-ES_tradnl"/>
        </w:rPr>
        <w:t>Atendiendo al objetivo del Convenio de Minamata, examinará y evaluará los indicadores de proceso y de resultado artículo por artículo detallados en el cuadro 4 del documento UNEP/MC/COP.2/INF/8, expondrá en detalle las fuentes de información y las bases de referencia de esos indicadores, teniendo en cuenta la eficacia en función de los costos, la factibilidad, la viabilidad y la sostenibilidad; y, sobre esa base, explicará pormenorizadamente los fundamentos de los indicadores recomendados;</w:t>
      </w:r>
    </w:p>
    <w:p w14:paraId="38C16181" w14:textId="77777777" w:rsidR="006E697A" w:rsidRPr="00D632D2" w:rsidRDefault="006E697A" w:rsidP="009D5F04">
      <w:pPr>
        <w:pStyle w:val="Text"/>
        <w:numPr>
          <w:ilvl w:val="0"/>
          <w:numId w:val="15"/>
        </w:numPr>
        <w:tabs>
          <w:tab w:val="left" w:pos="624"/>
        </w:tabs>
        <w:spacing w:after="120" w:line="240" w:lineRule="auto"/>
        <w:ind w:left="1247" w:firstLine="624"/>
        <w:rPr>
          <w:noProof/>
          <w:lang w:val="es-ES_tradnl"/>
        </w:rPr>
      </w:pPr>
      <w:r w:rsidRPr="00D632D2">
        <w:rPr>
          <w:noProof/>
          <w:lang w:val="es-ES_tradnl"/>
        </w:rPr>
        <w:t>Determinará respecto de cuáles indicadores recomendados se requieren datos de vigilancia, en particular con relación a las medidas de control y los objetivos establecidos en los artículos del Convenio;</w:t>
      </w:r>
    </w:p>
    <w:p w14:paraId="6DC66841" w14:textId="77777777" w:rsidR="006E697A" w:rsidRPr="00D632D2" w:rsidRDefault="006E697A" w:rsidP="009D5F04">
      <w:pPr>
        <w:pStyle w:val="Text"/>
        <w:numPr>
          <w:ilvl w:val="0"/>
          <w:numId w:val="15"/>
        </w:numPr>
        <w:tabs>
          <w:tab w:val="left" w:pos="624"/>
        </w:tabs>
        <w:spacing w:after="120" w:line="240" w:lineRule="auto"/>
        <w:ind w:left="1247" w:firstLine="624"/>
        <w:rPr>
          <w:noProof/>
          <w:lang w:val="es-ES_tradnl"/>
        </w:rPr>
      </w:pPr>
      <w:r w:rsidRPr="00D632D2">
        <w:rPr>
          <w:noProof/>
          <w:lang w:val="es-ES_tradnl"/>
        </w:rPr>
        <w:t>Elaborará una metodología para la integración de los indicadores recomendados a fin de dar una imagen integrada de la eficacia general del Convenio (por ejemplo, mediante el uso de indicadores agregados o intersectoriales);</w:t>
      </w:r>
    </w:p>
    <w:p w14:paraId="6F9A7002" w14:textId="77777777" w:rsidR="006E697A" w:rsidRPr="00D632D2" w:rsidRDefault="006E697A" w:rsidP="009D5F04">
      <w:pPr>
        <w:pStyle w:val="Text"/>
        <w:numPr>
          <w:ilvl w:val="0"/>
          <w:numId w:val="15"/>
        </w:numPr>
        <w:tabs>
          <w:tab w:val="left" w:pos="624"/>
        </w:tabs>
        <w:spacing w:after="120" w:line="240" w:lineRule="auto"/>
        <w:ind w:left="1247" w:firstLine="624"/>
        <w:rPr>
          <w:noProof/>
          <w:lang w:val="es-ES_tradnl"/>
        </w:rPr>
      </w:pPr>
      <w:r w:rsidRPr="00D632D2">
        <w:rPr>
          <w:noProof/>
          <w:lang w:val="es-ES_tradnl"/>
        </w:rPr>
        <w:t>Modificará el proyecto de mandato recomendado del comité de evaluación de la eficacia y el calendario de la primera evaluación de la eficacia, si fuese necesario, sobre la base de los resultados del proceso descrito en el presente párrafo.</w:t>
      </w:r>
    </w:p>
    <w:p w14:paraId="12C7FA3C" w14:textId="77777777" w:rsidR="006E697A" w:rsidRPr="00D632D2" w:rsidRDefault="006E697A" w:rsidP="009D5F04">
      <w:pPr>
        <w:pStyle w:val="Text"/>
        <w:numPr>
          <w:ilvl w:val="0"/>
          <w:numId w:val="18"/>
        </w:numPr>
        <w:suppressAutoHyphens/>
        <w:spacing w:after="120" w:line="240" w:lineRule="auto"/>
        <w:ind w:left="1247" w:firstLine="0"/>
        <w:rPr>
          <w:noProof/>
          <w:lang w:val="es-ES_tradnl"/>
        </w:rPr>
      </w:pPr>
      <w:r w:rsidRPr="00D632D2">
        <w:rPr>
          <w:noProof/>
          <w:lang w:val="es-ES_tradnl"/>
        </w:rPr>
        <w:t>Con respecto a la vigilancia, el grupo especial de expertos técnicos:</w:t>
      </w:r>
    </w:p>
    <w:p w14:paraId="1CD78CDE" w14:textId="77777777" w:rsidR="006E697A" w:rsidRPr="00D632D2" w:rsidRDefault="006E697A" w:rsidP="009D5F04">
      <w:pPr>
        <w:pStyle w:val="Normalnumber"/>
        <w:numPr>
          <w:ilvl w:val="0"/>
          <w:numId w:val="17"/>
        </w:numPr>
        <w:tabs>
          <w:tab w:val="clear" w:pos="1247"/>
        </w:tabs>
        <w:ind w:left="1247" w:firstLine="624"/>
      </w:pPr>
      <w:proofErr w:type="spellStart"/>
      <w:r w:rsidRPr="00D632D2">
        <w:t>Determinará</w:t>
      </w:r>
      <w:proofErr w:type="spellEnd"/>
      <w:r w:rsidRPr="00D632D2">
        <w:t>:</w:t>
      </w:r>
    </w:p>
    <w:p w14:paraId="1443D58D" w14:textId="77777777" w:rsidR="006E697A" w:rsidRPr="00D632D2" w:rsidRDefault="006E697A" w:rsidP="006E697A">
      <w:pPr>
        <w:pBdr>
          <w:top w:val="nil"/>
          <w:left w:val="nil"/>
          <w:bottom w:val="nil"/>
          <w:right w:val="nil"/>
          <w:between w:val="nil"/>
          <w:bar w:val="nil"/>
        </w:pBdr>
        <w:tabs>
          <w:tab w:val="clear" w:pos="1247"/>
          <w:tab w:val="clear" w:pos="1814"/>
          <w:tab w:val="clear" w:pos="2381"/>
          <w:tab w:val="clear" w:pos="2948"/>
          <w:tab w:val="clear" w:pos="3515"/>
        </w:tabs>
        <w:spacing w:after="120"/>
        <w:ind w:left="3119" w:hanging="624"/>
      </w:pPr>
      <w:r w:rsidRPr="00D632D2">
        <w:lastRenderedPageBreak/>
        <w:t>i)</w:t>
      </w:r>
      <w:r w:rsidRPr="00D632D2">
        <w:tab/>
        <w:t>Las categorías de datos de vigilancia disponibles</w:t>
      </w:r>
      <w:r w:rsidRPr="00D632D2">
        <w:rPr>
          <w:vertAlign w:val="superscript"/>
        </w:rPr>
        <w:footnoteReference w:id="4"/>
      </w:r>
      <w:r w:rsidRPr="00D632D2">
        <w:t xml:space="preserve"> y comparables</w:t>
      </w:r>
      <w:r w:rsidRPr="00D632D2">
        <w:rPr>
          <w:vertAlign w:val="superscript"/>
        </w:rPr>
        <w:footnoteReference w:id="5"/>
      </w:r>
      <w:r w:rsidRPr="00D632D2">
        <w:t xml:space="preserve"> que serían las más eficaces para proveer información sobre las tendencias mundiales (separando esos datos de los datos que podrían ser útiles para fundamentar políticas a nivel local, nacional o regional);</w:t>
      </w:r>
    </w:p>
    <w:p w14:paraId="09643ED8" w14:textId="77777777" w:rsidR="006E697A" w:rsidRPr="00D632D2" w:rsidRDefault="006E697A" w:rsidP="006E697A">
      <w:pPr>
        <w:pBdr>
          <w:top w:val="nil"/>
          <w:left w:val="nil"/>
          <w:bottom w:val="nil"/>
          <w:right w:val="nil"/>
          <w:between w:val="nil"/>
          <w:bar w:val="nil"/>
        </w:pBdr>
        <w:tabs>
          <w:tab w:val="clear" w:pos="1247"/>
          <w:tab w:val="clear" w:pos="1814"/>
          <w:tab w:val="clear" w:pos="2381"/>
          <w:tab w:val="clear" w:pos="2948"/>
          <w:tab w:val="clear" w:pos="3515"/>
        </w:tabs>
        <w:spacing w:after="120"/>
        <w:ind w:left="3119" w:hanging="624"/>
      </w:pPr>
      <w:proofErr w:type="spellStart"/>
      <w:r w:rsidRPr="00D632D2">
        <w:t>ii</w:t>
      </w:r>
      <w:proofErr w:type="spellEnd"/>
      <w:r w:rsidRPr="00D632D2">
        <w:t>)</w:t>
      </w:r>
      <w:r w:rsidRPr="00D632D2">
        <w:tab/>
        <w:t>Los datos de vigilancia sobre el aire, el agua, la biota y los seres humanos que podrían utilizarse para evaluar los efectos en los niveles de mercurio y las tendencias de esos niveles;</w:t>
      </w:r>
    </w:p>
    <w:p w14:paraId="65CB95EB" w14:textId="77777777" w:rsidR="006E697A" w:rsidRPr="00D632D2" w:rsidRDefault="006E697A" w:rsidP="006E697A">
      <w:pPr>
        <w:pBdr>
          <w:top w:val="nil"/>
          <w:left w:val="nil"/>
          <w:bottom w:val="nil"/>
          <w:right w:val="nil"/>
          <w:between w:val="nil"/>
          <w:bar w:val="nil"/>
        </w:pBdr>
        <w:tabs>
          <w:tab w:val="clear" w:pos="1247"/>
          <w:tab w:val="clear" w:pos="1814"/>
          <w:tab w:val="clear" w:pos="2381"/>
          <w:tab w:val="clear" w:pos="2948"/>
          <w:tab w:val="clear" w:pos="3515"/>
        </w:tabs>
        <w:spacing w:after="120"/>
        <w:ind w:left="3119" w:hanging="624"/>
      </w:pPr>
      <w:proofErr w:type="spellStart"/>
      <w:r w:rsidRPr="00D632D2">
        <w:t>iii</w:t>
      </w:r>
      <w:proofErr w:type="spellEnd"/>
      <w:r w:rsidRPr="00D632D2">
        <w:t>)</w:t>
      </w:r>
      <w:r w:rsidRPr="00D632D2">
        <w:tab/>
        <w:t xml:space="preserve">Las posibilidades y las limitaciones de los datos que se hayan determinado, teniendo en cuenta los efectos distintos de los efectos de las emisiones y las liberaciones </w:t>
      </w:r>
      <w:proofErr w:type="spellStart"/>
      <w:r w:rsidRPr="00D632D2">
        <w:t>antropógenas</w:t>
      </w:r>
      <w:proofErr w:type="spellEnd"/>
      <w:r w:rsidRPr="00D632D2">
        <w:t xml:space="preserve"> en esas tendencias espaciales y temporales;</w:t>
      </w:r>
    </w:p>
    <w:p w14:paraId="4E435414" w14:textId="77777777" w:rsidR="006E697A" w:rsidRPr="006E697A" w:rsidRDefault="006E697A" w:rsidP="009D5F04">
      <w:pPr>
        <w:pStyle w:val="Normalnumber"/>
        <w:numPr>
          <w:ilvl w:val="0"/>
          <w:numId w:val="17"/>
        </w:numPr>
        <w:tabs>
          <w:tab w:val="clear" w:pos="1247"/>
        </w:tabs>
        <w:ind w:left="1247" w:firstLine="624"/>
        <w:rPr>
          <w:lang w:val="es-ES"/>
        </w:rPr>
      </w:pPr>
      <w:r w:rsidRPr="006E697A">
        <w:rPr>
          <w:lang w:val="es-ES"/>
        </w:rPr>
        <w:t>Evaluará en qué medida la información examinada satisface las necesidades en materia de vigilancia establecidas en el párrafo 2 del artículo 22 del Convenio, y determinará las lagunas importantes que podrían afectar la capacidad de uso de los datos disponibles, e indicará las opciones o recomendaciones para aumentar la comparabilidad y exhaustividad de la información;</w:t>
      </w:r>
    </w:p>
    <w:p w14:paraId="07FD58D6" w14:textId="77777777" w:rsidR="006E697A" w:rsidRPr="006E697A" w:rsidRDefault="006E697A" w:rsidP="009D5F04">
      <w:pPr>
        <w:pStyle w:val="Normalnumber"/>
        <w:numPr>
          <w:ilvl w:val="0"/>
          <w:numId w:val="17"/>
        </w:numPr>
        <w:tabs>
          <w:tab w:val="clear" w:pos="1247"/>
        </w:tabs>
        <w:ind w:left="1247" w:firstLine="624"/>
        <w:rPr>
          <w:lang w:val="es-ES"/>
        </w:rPr>
      </w:pPr>
      <w:r w:rsidRPr="006E697A">
        <w:rPr>
          <w:lang w:val="es-ES"/>
        </w:rPr>
        <w:t>A fin de subsanar las lagunas en los datos de vigilancia pertinentes a nivel mundial, en el caso de las opciones y las recomendaciones mencionadas en el apartado anterior, comparará su eficacia en función de los costos, la factibilidad, la viabilidad y la sostenibilidad, la cobertura mundial y las capacidades regionales, para determinar las posibilidades de mejoramiento de la vigilancia futuras;</w:t>
      </w:r>
    </w:p>
    <w:p w14:paraId="1D45CDDB" w14:textId="77777777" w:rsidR="006E697A" w:rsidRPr="006E697A" w:rsidRDefault="006E697A" w:rsidP="009D5F04">
      <w:pPr>
        <w:pStyle w:val="Normalnumber"/>
        <w:numPr>
          <w:ilvl w:val="0"/>
          <w:numId w:val="17"/>
        </w:numPr>
        <w:tabs>
          <w:tab w:val="clear" w:pos="1247"/>
        </w:tabs>
        <w:ind w:left="1247" w:firstLine="624"/>
        <w:rPr>
          <w:lang w:val="es-ES"/>
        </w:rPr>
      </w:pPr>
      <w:r w:rsidRPr="006E697A">
        <w:rPr>
          <w:lang w:val="es-ES"/>
        </w:rPr>
        <w:t>Determinará las capacidades de elaboración de modelos con que se cuenta para evaluar los cambios en los niveles mundiales de mercurio en cada medio y en el conjunto de esos medios;</w:t>
      </w:r>
    </w:p>
    <w:p w14:paraId="19F7024F" w14:textId="77777777" w:rsidR="006E697A" w:rsidRPr="006E697A" w:rsidRDefault="006E697A" w:rsidP="009D5F04">
      <w:pPr>
        <w:pStyle w:val="Normalnumber"/>
        <w:numPr>
          <w:ilvl w:val="0"/>
          <w:numId w:val="17"/>
        </w:numPr>
        <w:tabs>
          <w:tab w:val="clear" w:pos="1247"/>
        </w:tabs>
        <w:ind w:left="1247" w:firstLine="624"/>
        <w:rPr>
          <w:lang w:val="es-ES"/>
        </w:rPr>
      </w:pPr>
      <w:r w:rsidRPr="006E697A">
        <w:rPr>
          <w:lang w:val="es-ES"/>
        </w:rPr>
        <w:t>Examinará opciones y, sobre la base de esas opciones, identificará las fuentes de datos que pueden utilizarse para establecer una base de referencia para los datos de vigilancia;</w:t>
      </w:r>
    </w:p>
    <w:p w14:paraId="34204992" w14:textId="77777777" w:rsidR="006E697A" w:rsidRPr="006E697A" w:rsidRDefault="006E697A" w:rsidP="009D5F04">
      <w:pPr>
        <w:pStyle w:val="Normalnumber"/>
        <w:numPr>
          <w:ilvl w:val="0"/>
          <w:numId w:val="17"/>
        </w:numPr>
        <w:tabs>
          <w:tab w:val="clear" w:pos="1247"/>
        </w:tabs>
        <w:ind w:left="1247" w:firstLine="624"/>
        <w:rPr>
          <w:lang w:val="es-ES"/>
        </w:rPr>
      </w:pPr>
      <w:r w:rsidRPr="006E697A">
        <w:rPr>
          <w:lang w:val="es-ES"/>
        </w:rPr>
        <w:t xml:space="preserve">Hará otros aportes técnicos y suministrará la información necesaria para abordar las cuestiones de vigilancia adicionales que puedan determinarse durante la elaboración del marco de evaluación; </w:t>
      </w:r>
    </w:p>
    <w:p w14:paraId="55B33AB5" w14:textId="77777777" w:rsidR="006E697A" w:rsidRPr="006E697A" w:rsidRDefault="006E697A" w:rsidP="009D5F04">
      <w:pPr>
        <w:pStyle w:val="Normalnumber"/>
        <w:numPr>
          <w:ilvl w:val="0"/>
          <w:numId w:val="17"/>
        </w:numPr>
        <w:tabs>
          <w:tab w:val="clear" w:pos="1247"/>
        </w:tabs>
        <w:ind w:left="1247" w:firstLine="624"/>
        <w:rPr>
          <w:lang w:val="es-ES"/>
        </w:rPr>
      </w:pPr>
      <w:r w:rsidRPr="006E697A">
        <w:rPr>
          <w:lang w:val="es-ES"/>
        </w:rPr>
        <w:t>Redactará un borrador de mandato para los arreglos de vigilancia mundial, incluida la preparación de una orientación sobre vigilancia.</w:t>
      </w:r>
    </w:p>
    <w:p w14:paraId="57E01555" w14:textId="77777777" w:rsidR="006E697A" w:rsidRPr="006E697A" w:rsidRDefault="006E697A" w:rsidP="006E697A">
      <w:pPr>
        <w:pStyle w:val="CH1"/>
        <w:rPr>
          <w:lang w:val="es-ES"/>
        </w:rPr>
      </w:pPr>
      <w:r w:rsidRPr="006E697A">
        <w:rPr>
          <w:lang w:val="es-ES"/>
        </w:rPr>
        <w:tab/>
      </w:r>
      <w:bookmarkStart w:id="9" w:name="_Toc13068825"/>
      <w:bookmarkStart w:id="10" w:name="_Toc13072389"/>
      <w:bookmarkStart w:id="11" w:name="_Toc13135493"/>
      <w:r w:rsidRPr="006E697A">
        <w:rPr>
          <w:lang w:val="es-ES"/>
        </w:rPr>
        <w:t>II.</w:t>
      </w:r>
      <w:r w:rsidRPr="006E697A">
        <w:rPr>
          <w:lang w:val="es-ES"/>
        </w:rPr>
        <w:tab/>
      </w:r>
      <w:r w:rsidRPr="006E697A">
        <w:rPr>
          <w:bCs/>
          <w:lang w:val="es-ES"/>
        </w:rPr>
        <w:t xml:space="preserve">Composición </w:t>
      </w:r>
      <w:bookmarkStart w:id="12" w:name="_Toc7079452"/>
      <w:bookmarkEnd w:id="12"/>
      <w:r w:rsidRPr="006E697A">
        <w:rPr>
          <w:bCs/>
          <w:lang w:val="es-ES"/>
        </w:rPr>
        <w:t>modificada</w:t>
      </w:r>
      <w:bookmarkEnd w:id="9"/>
      <w:bookmarkEnd w:id="10"/>
      <w:bookmarkEnd w:id="11"/>
    </w:p>
    <w:p w14:paraId="4A9F4714" w14:textId="77777777" w:rsidR="006E697A" w:rsidRPr="00D632D2" w:rsidRDefault="006E697A" w:rsidP="006E697A">
      <w:pPr>
        <w:pStyle w:val="Text"/>
        <w:tabs>
          <w:tab w:val="left" w:pos="624"/>
        </w:tabs>
        <w:spacing w:after="120"/>
        <w:ind w:left="1247"/>
        <w:rPr>
          <w:noProof/>
          <w:lang w:val="es-ES_tradnl"/>
        </w:rPr>
      </w:pPr>
      <w:r w:rsidRPr="00D632D2">
        <w:rPr>
          <w:noProof/>
          <w:lang w:val="es-ES_tradnl"/>
        </w:rPr>
        <w:t>4.</w:t>
      </w:r>
      <w:r w:rsidRPr="00D632D2">
        <w:rPr>
          <w:noProof/>
          <w:lang w:val="es-ES_tradnl"/>
        </w:rPr>
        <w:tab/>
        <w:t>Teniendo en cuenta el deseo de la Conferencia de las Partes de aumentar las capacidades del grupo especial de expertos técnicos en el ámbito de la evaluación de la eficacia, los miembros del grupo podrán seguir desempeñando sus funciones a menos que las regiones proponentes decidan otra cosa.</w:t>
      </w:r>
    </w:p>
    <w:p w14:paraId="5B76A501" w14:textId="77777777" w:rsidR="006E697A" w:rsidRPr="00D632D2" w:rsidRDefault="006E697A" w:rsidP="006E697A">
      <w:pPr>
        <w:pStyle w:val="Text"/>
        <w:tabs>
          <w:tab w:val="left" w:pos="624"/>
        </w:tabs>
        <w:spacing w:after="120"/>
        <w:ind w:left="1247"/>
        <w:rPr>
          <w:noProof/>
          <w:lang w:val="es-ES_tradnl"/>
        </w:rPr>
      </w:pPr>
      <w:r w:rsidRPr="00D632D2">
        <w:rPr>
          <w:noProof/>
          <w:lang w:val="es-ES_tradnl"/>
        </w:rPr>
        <w:t>5.</w:t>
      </w:r>
      <w:r w:rsidRPr="00D632D2">
        <w:rPr>
          <w:noProof/>
          <w:lang w:val="es-ES_tradnl"/>
        </w:rPr>
        <w:tab/>
        <w:t>El grupo invitará a participar a un máximo de 10 expertos de la sociedad civil, las organizaciones indígenas, las organizaciones intergubernamentales, la industria y la Asociación Mundial sobre el Mercurio del Programa de las Naciones Unidas para el Medio Ambiente en calidad de observadores. La participación de los observadores se equilibrará entre los grupos antes mencionados, con preferencia por la especialización pertinente a la esfera de la evaluación de la eficacia.</w:t>
      </w:r>
    </w:p>
    <w:p w14:paraId="71A4EFED" w14:textId="77777777" w:rsidR="006E697A" w:rsidRPr="00D632D2" w:rsidRDefault="006E697A" w:rsidP="006E697A">
      <w:pPr>
        <w:pStyle w:val="CH1"/>
      </w:pPr>
      <w:r w:rsidRPr="006E697A">
        <w:rPr>
          <w:lang w:val="es-ES"/>
        </w:rPr>
        <w:tab/>
      </w:r>
      <w:bookmarkStart w:id="13" w:name="_Toc13068826"/>
      <w:bookmarkStart w:id="14" w:name="_Toc13072390"/>
      <w:bookmarkStart w:id="15" w:name="_Toc13135494"/>
      <w:r w:rsidRPr="00D632D2">
        <w:t>III.</w:t>
      </w:r>
      <w:r w:rsidRPr="00D632D2">
        <w:tab/>
      </w:r>
      <w:proofErr w:type="spellStart"/>
      <w:r w:rsidRPr="00D632D2">
        <w:rPr>
          <w:bCs/>
        </w:rPr>
        <w:t>Cualificaciones</w:t>
      </w:r>
      <w:proofErr w:type="spellEnd"/>
      <w:r w:rsidRPr="00D632D2">
        <w:rPr>
          <w:bCs/>
        </w:rPr>
        <w:t xml:space="preserve"> </w:t>
      </w:r>
      <w:bookmarkStart w:id="16" w:name="_Toc7079453"/>
      <w:bookmarkEnd w:id="16"/>
      <w:proofErr w:type="spellStart"/>
      <w:r w:rsidRPr="00D632D2">
        <w:rPr>
          <w:bCs/>
        </w:rPr>
        <w:t>modificadas</w:t>
      </w:r>
      <w:bookmarkEnd w:id="13"/>
      <w:bookmarkEnd w:id="14"/>
      <w:bookmarkEnd w:id="15"/>
      <w:proofErr w:type="spellEnd"/>
    </w:p>
    <w:p w14:paraId="5F954BC2" w14:textId="77777777" w:rsidR="006E697A" w:rsidRPr="006E697A" w:rsidRDefault="006E697A" w:rsidP="009D5F04">
      <w:pPr>
        <w:pStyle w:val="Normalnumber"/>
        <w:numPr>
          <w:ilvl w:val="0"/>
          <w:numId w:val="12"/>
        </w:numPr>
        <w:tabs>
          <w:tab w:val="clear" w:pos="1247"/>
        </w:tabs>
        <w:rPr>
          <w:lang w:val="es-ES"/>
        </w:rPr>
      </w:pPr>
      <w:r w:rsidRPr="006E697A">
        <w:rPr>
          <w:lang w:val="es-ES"/>
        </w:rPr>
        <w:t xml:space="preserve">Las siguientes cualificaciones se añaden al: </w:t>
      </w:r>
    </w:p>
    <w:p w14:paraId="7D884AA2" w14:textId="77777777" w:rsidR="006E697A" w:rsidRPr="00D632D2" w:rsidRDefault="006E697A" w:rsidP="009D5F04">
      <w:pPr>
        <w:pStyle w:val="Text"/>
        <w:numPr>
          <w:ilvl w:val="0"/>
          <w:numId w:val="13"/>
        </w:numPr>
        <w:spacing w:after="120" w:line="240" w:lineRule="auto"/>
        <w:ind w:left="1247" w:firstLine="624"/>
        <w:rPr>
          <w:noProof/>
          <w:lang w:val="es-ES_tradnl"/>
        </w:rPr>
      </w:pPr>
      <w:r w:rsidRPr="00D632D2">
        <w:rPr>
          <w:noProof/>
          <w:lang w:val="es-ES_tradnl"/>
        </w:rPr>
        <w:t>Anexo II de la decisión MC</w:t>
      </w:r>
      <w:r w:rsidRPr="00D632D2">
        <w:rPr>
          <w:noProof/>
          <w:lang w:val="es-ES_tradnl"/>
        </w:rPr>
        <w:noBreakHyphen/>
        <w:t xml:space="preserve">1/9, sección III c): especialización en marcos de evaluación según especifique el Grupo de Evaluación de las Naciones Unidas, o en vigilancia y evaluación de la gestión de los proyectos según especifique el Comité de Asistencia para el Desarrollo de la Organización de Cooperación y Desarrollo Económicos; </w:t>
      </w:r>
    </w:p>
    <w:p w14:paraId="70A41E09" w14:textId="77777777" w:rsidR="006E697A" w:rsidRPr="00D632D2" w:rsidRDefault="006E697A" w:rsidP="009D5F04">
      <w:pPr>
        <w:pStyle w:val="Text"/>
        <w:numPr>
          <w:ilvl w:val="0"/>
          <w:numId w:val="13"/>
        </w:numPr>
        <w:spacing w:after="120" w:line="240" w:lineRule="auto"/>
        <w:ind w:left="1247" w:firstLine="624"/>
        <w:rPr>
          <w:noProof/>
          <w:lang w:val="es-ES_tradnl"/>
        </w:rPr>
      </w:pPr>
      <w:r w:rsidRPr="00D632D2">
        <w:rPr>
          <w:noProof/>
          <w:lang w:val="es-ES_tradnl"/>
        </w:rPr>
        <w:lastRenderedPageBreak/>
        <w:t>Anexo II de la decisión MC</w:t>
      </w:r>
      <w:r w:rsidRPr="00D632D2">
        <w:rPr>
          <w:noProof/>
          <w:lang w:val="es-ES_tradnl"/>
        </w:rPr>
        <w:noBreakHyphen/>
        <w:t>1/9, sección III a): experiencia pertinente a los procesos de los ecosistemas o especialización en previsiones a largo plazo basadas en hipótesis del estado del medio ambiente y en evaluaciones multidisciplinarias de los efectos.</w:t>
      </w:r>
    </w:p>
    <w:p w14:paraId="632142C4" w14:textId="77777777" w:rsidR="006E697A" w:rsidRPr="006E697A" w:rsidRDefault="006E697A" w:rsidP="006E697A">
      <w:pPr>
        <w:pStyle w:val="CH2"/>
        <w:rPr>
          <w:lang w:val="es-ES"/>
        </w:rPr>
      </w:pPr>
      <w:r w:rsidRPr="006E697A">
        <w:rPr>
          <w:lang w:val="es-ES"/>
        </w:rPr>
        <w:tab/>
      </w:r>
      <w:r w:rsidRPr="006E697A">
        <w:rPr>
          <w:lang w:val="es-ES"/>
        </w:rPr>
        <w:tab/>
      </w:r>
      <w:r w:rsidRPr="006E697A">
        <w:rPr>
          <w:bCs/>
          <w:lang w:val="es-ES"/>
        </w:rPr>
        <w:t>Anexo II de la decisión MC</w:t>
      </w:r>
      <w:r w:rsidRPr="006E697A">
        <w:rPr>
          <w:bCs/>
          <w:lang w:val="es-ES"/>
        </w:rPr>
        <w:noBreakHyphen/>
        <w:t>2/10</w:t>
      </w:r>
    </w:p>
    <w:p w14:paraId="0E0B5104" w14:textId="77777777" w:rsidR="006E697A" w:rsidRPr="006E697A" w:rsidRDefault="006E697A" w:rsidP="006E697A">
      <w:pPr>
        <w:pStyle w:val="CH2"/>
        <w:rPr>
          <w:lang w:val="es-ES"/>
        </w:rPr>
      </w:pPr>
      <w:r w:rsidRPr="006E697A">
        <w:rPr>
          <w:lang w:val="es-ES"/>
        </w:rPr>
        <w:tab/>
      </w:r>
      <w:r w:rsidRPr="006E697A">
        <w:rPr>
          <w:lang w:val="es-ES"/>
        </w:rPr>
        <w:tab/>
      </w:r>
      <w:r w:rsidRPr="006E697A">
        <w:rPr>
          <w:bCs/>
          <w:lang w:val="es-ES"/>
        </w:rPr>
        <w:t>Proyecto de hoja de ruta sobre la preparación del informe del grupo especial de expertos técnicos para la evaluación de la eficacia para la tercera reunión de la Conferencia de las Partes</w:t>
      </w:r>
    </w:p>
    <w:tbl>
      <w:tblPr>
        <w:tblW w:w="8080" w:type="dxa"/>
        <w:tblInd w:w="1276" w:type="dxa"/>
        <w:shd w:val="clear" w:color="auto" w:fill="CED7E7"/>
        <w:tblLayout w:type="fixed"/>
        <w:tblLook w:val="04A0" w:firstRow="1" w:lastRow="0" w:firstColumn="1" w:lastColumn="0" w:noHBand="0" w:noVBand="1"/>
      </w:tblPr>
      <w:tblGrid>
        <w:gridCol w:w="5954"/>
        <w:gridCol w:w="2126"/>
      </w:tblGrid>
      <w:tr w:rsidR="006E697A" w:rsidRPr="00D632D2" w14:paraId="199423ED" w14:textId="77777777" w:rsidTr="00A53323">
        <w:trPr>
          <w:trHeight w:val="202"/>
        </w:trPr>
        <w:tc>
          <w:tcPr>
            <w:tcW w:w="5954" w:type="dxa"/>
            <w:tcBorders>
              <w:top w:val="single" w:sz="4" w:space="0" w:color="auto"/>
              <w:bottom w:val="single" w:sz="12" w:space="0" w:color="auto"/>
            </w:tcBorders>
            <w:shd w:val="clear" w:color="auto" w:fill="auto"/>
            <w:tcMar>
              <w:top w:w="80" w:type="dxa"/>
              <w:left w:w="80" w:type="dxa"/>
              <w:bottom w:w="80" w:type="dxa"/>
              <w:right w:w="80" w:type="dxa"/>
            </w:tcMar>
          </w:tcPr>
          <w:p w14:paraId="632FCAF0" w14:textId="77777777" w:rsidR="006E697A" w:rsidRPr="00D632D2" w:rsidRDefault="006E697A" w:rsidP="00A53323">
            <w:pPr>
              <w:rPr>
                <w:bCs/>
                <w:i/>
                <w:sz w:val="18"/>
                <w:szCs w:val="18"/>
              </w:rPr>
            </w:pPr>
            <w:r w:rsidRPr="00D632D2">
              <w:rPr>
                <w:i/>
                <w:iCs/>
                <w:sz w:val="18"/>
                <w:szCs w:val="18"/>
              </w:rPr>
              <w:t>Actividad</w:t>
            </w:r>
          </w:p>
        </w:tc>
        <w:tc>
          <w:tcPr>
            <w:tcW w:w="2126" w:type="dxa"/>
            <w:tcBorders>
              <w:top w:val="single" w:sz="4" w:space="0" w:color="auto"/>
              <w:bottom w:val="single" w:sz="12" w:space="0" w:color="auto"/>
            </w:tcBorders>
            <w:shd w:val="clear" w:color="auto" w:fill="auto"/>
            <w:tcMar>
              <w:top w:w="80" w:type="dxa"/>
              <w:left w:w="80" w:type="dxa"/>
              <w:bottom w:w="80" w:type="dxa"/>
              <w:right w:w="80" w:type="dxa"/>
            </w:tcMar>
          </w:tcPr>
          <w:p w14:paraId="3B8933C7" w14:textId="77777777" w:rsidR="006E697A" w:rsidRPr="00D632D2" w:rsidRDefault="006E697A" w:rsidP="00A53323">
            <w:pPr>
              <w:rPr>
                <w:bCs/>
                <w:i/>
                <w:sz w:val="18"/>
                <w:szCs w:val="18"/>
              </w:rPr>
            </w:pPr>
            <w:r w:rsidRPr="00D632D2">
              <w:rPr>
                <w:i/>
                <w:iCs/>
                <w:sz w:val="18"/>
                <w:szCs w:val="18"/>
              </w:rPr>
              <w:t>Plazo</w:t>
            </w:r>
          </w:p>
        </w:tc>
      </w:tr>
      <w:tr w:rsidR="006E697A" w:rsidRPr="00D632D2" w14:paraId="3D87321A" w14:textId="77777777" w:rsidTr="00A53323">
        <w:trPr>
          <w:trHeight w:val="402"/>
        </w:trPr>
        <w:tc>
          <w:tcPr>
            <w:tcW w:w="5954" w:type="dxa"/>
            <w:tcBorders>
              <w:top w:val="single" w:sz="12" w:space="0" w:color="auto"/>
            </w:tcBorders>
            <w:shd w:val="clear" w:color="auto" w:fill="auto"/>
            <w:tcMar>
              <w:top w:w="80" w:type="dxa"/>
              <w:left w:w="80" w:type="dxa"/>
              <w:bottom w:w="80" w:type="dxa"/>
              <w:right w:w="80" w:type="dxa"/>
            </w:tcMar>
          </w:tcPr>
          <w:p w14:paraId="6332EB46" w14:textId="77777777" w:rsidR="006E697A" w:rsidRPr="00D632D2" w:rsidRDefault="006E697A" w:rsidP="00A53323">
            <w:pPr>
              <w:rPr>
                <w:sz w:val="18"/>
                <w:szCs w:val="18"/>
              </w:rPr>
            </w:pPr>
            <w:r w:rsidRPr="00D632D2">
              <w:rPr>
                <w:sz w:val="18"/>
                <w:szCs w:val="18"/>
              </w:rPr>
              <w:t>Constituir el grupo especial de expertos técnicos sobre la base de la composición y las cualificaciones modificadas que figuran en el anexo I de la decisión MC</w:t>
            </w:r>
            <w:r w:rsidRPr="00D632D2">
              <w:rPr>
                <w:sz w:val="18"/>
                <w:szCs w:val="18"/>
              </w:rPr>
              <w:noBreakHyphen/>
              <w:t>2/10</w:t>
            </w:r>
          </w:p>
        </w:tc>
        <w:tc>
          <w:tcPr>
            <w:tcW w:w="2126" w:type="dxa"/>
            <w:tcBorders>
              <w:top w:val="single" w:sz="12" w:space="0" w:color="auto"/>
            </w:tcBorders>
            <w:shd w:val="clear" w:color="auto" w:fill="auto"/>
            <w:tcMar>
              <w:top w:w="80" w:type="dxa"/>
              <w:left w:w="80" w:type="dxa"/>
              <w:bottom w:w="80" w:type="dxa"/>
              <w:right w:w="80" w:type="dxa"/>
            </w:tcMar>
          </w:tcPr>
          <w:p w14:paraId="3378D4C4" w14:textId="77777777" w:rsidR="006E697A" w:rsidRPr="00D632D2" w:rsidRDefault="006E697A" w:rsidP="00A53323">
            <w:pPr>
              <w:rPr>
                <w:sz w:val="18"/>
                <w:szCs w:val="18"/>
              </w:rPr>
            </w:pPr>
            <w:r w:rsidRPr="00D632D2">
              <w:rPr>
                <w:sz w:val="18"/>
                <w:szCs w:val="18"/>
              </w:rPr>
              <w:t>Diciembre de 2018</w:t>
            </w:r>
          </w:p>
        </w:tc>
      </w:tr>
      <w:tr w:rsidR="006E697A" w:rsidRPr="00D632D2" w14:paraId="240D4737" w14:textId="77777777" w:rsidTr="00A53323">
        <w:trPr>
          <w:trHeight w:val="402"/>
        </w:trPr>
        <w:tc>
          <w:tcPr>
            <w:tcW w:w="5954" w:type="dxa"/>
            <w:shd w:val="clear" w:color="auto" w:fill="auto"/>
            <w:tcMar>
              <w:top w:w="80" w:type="dxa"/>
              <w:left w:w="80" w:type="dxa"/>
              <w:bottom w:w="80" w:type="dxa"/>
              <w:right w:w="80" w:type="dxa"/>
            </w:tcMar>
          </w:tcPr>
          <w:p w14:paraId="0699F38E" w14:textId="77777777" w:rsidR="006E697A" w:rsidRPr="00D632D2" w:rsidRDefault="006E697A" w:rsidP="00A53323">
            <w:pPr>
              <w:rPr>
                <w:sz w:val="18"/>
                <w:szCs w:val="18"/>
              </w:rPr>
            </w:pPr>
            <w:r w:rsidRPr="00D632D2">
              <w:rPr>
                <w:sz w:val="18"/>
                <w:szCs w:val="18"/>
              </w:rPr>
              <w:t>Solicitar a la Secretaría que, en cooperación con las copresidencias del grupo especial de expertos técnicos, prepare el programa de la reunión y documentos de antecedentes y celebre los debates preparatorios</w:t>
            </w:r>
          </w:p>
        </w:tc>
        <w:tc>
          <w:tcPr>
            <w:tcW w:w="2126" w:type="dxa"/>
            <w:shd w:val="clear" w:color="auto" w:fill="auto"/>
            <w:tcMar>
              <w:top w:w="80" w:type="dxa"/>
              <w:left w:w="80" w:type="dxa"/>
              <w:bottom w:w="80" w:type="dxa"/>
              <w:right w:w="80" w:type="dxa"/>
            </w:tcMar>
          </w:tcPr>
          <w:p w14:paraId="5B213579" w14:textId="77777777" w:rsidR="006E697A" w:rsidRPr="00D632D2" w:rsidDel="00FA16CC" w:rsidRDefault="006E697A" w:rsidP="00A53323">
            <w:pPr>
              <w:rPr>
                <w:sz w:val="18"/>
                <w:szCs w:val="18"/>
              </w:rPr>
            </w:pPr>
            <w:r w:rsidRPr="00D632D2">
              <w:rPr>
                <w:sz w:val="18"/>
                <w:szCs w:val="18"/>
              </w:rPr>
              <w:t>Enero de 2019</w:t>
            </w:r>
          </w:p>
        </w:tc>
      </w:tr>
      <w:tr w:rsidR="006E697A" w:rsidRPr="00D632D2" w14:paraId="588257C5" w14:textId="77777777" w:rsidTr="00A53323">
        <w:trPr>
          <w:trHeight w:val="402"/>
        </w:trPr>
        <w:tc>
          <w:tcPr>
            <w:tcW w:w="5954" w:type="dxa"/>
            <w:shd w:val="clear" w:color="auto" w:fill="auto"/>
            <w:tcMar>
              <w:top w:w="80" w:type="dxa"/>
              <w:left w:w="80" w:type="dxa"/>
              <w:bottom w:w="80" w:type="dxa"/>
              <w:right w:w="80" w:type="dxa"/>
            </w:tcMar>
          </w:tcPr>
          <w:p w14:paraId="2C71BDCE" w14:textId="77777777" w:rsidR="006E697A" w:rsidRPr="00D632D2" w:rsidRDefault="006E697A" w:rsidP="00A53323">
            <w:pPr>
              <w:rPr>
                <w:sz w:val="18"/>
                <w:szCs w:val="18"/>
              </w:rPr>
            </w:pPr>
            <w:r w:rsidRPr="00D632D2">
              <w:rPr>
                <w:sz w:val="18"/>
                <w:szCs w:val="18"/>
              </w:rPr>
              <w:t>Solicitar al grupo especial de expertos técnicos y a los observadores que proporcionen información y observaciones de conformidad con el mandato revisado para su recopilación por la Secretaría</w:t>
            </w:r>
          </w:p>
        </w:tc>
        <w:tc>
          <w:tcPr>
            <w:tcW w:w="2126" w:type="dxa"/>
            <w:shd w:val="clear" w:color="auto" w:fill="auto"/>
            <w:tcMar>
              <w:top w:w="80" w:type="dxa"/>
              <w:left w:w="80" w:type="dxa"/>
              <w:bottom w:w="80" w:type="dxa"/>
              <w:right w:w="80" w:type="dxa"/>
            </w:tcMar>
          </w:tcPr>
          <w:p w14:paraId="228B63DA" w14:textId="77777777" w:rsidR="006E697A" w:rsidRPr="00D632D2" w:rsidRDefault="006E697A" w:rsidP="00A53323">
            <w:pPr>
              <w:rPr>
                <w:sz w:val="18"/>
                <w:szCs w:val="18"/>
              </w:rPr>
            </w:pPr>
            <w:r w:rsidRPr="00D632D2">
              <w:rPr>
                <w:sz w:val="18"/>
                <w:szCs w:val="18"/>
              </w:rPr>
              <w:t>Antes de marzo de 2019</w:t>
            </w:r>
          </w:p>
        </w:tc>
      </w:tr>
      <w:tr w:rsidR="006E697A" w:rsidRPr="00D632D2" w14:paraId="6CC40DA2" w14:textId="77777777" w:rsidTr="00A53323">
        <w:trPr>
          <w:trHeight w:val="202"/>
        </w:trPr>
        <w:tc>
          <w:tcPr>
            <w:tcW w:w="5954" w:type="dxa"/>
            <w:shd w:val="clear" w:color="auto" w:fill="auto"/>
            <w:tcMar>
              <w:top w:w="80" w:type="dxa"/>
              <w:left w:w="80" w:type="dxa"/>
              <w:bottom w:w="80" w:type="dxa"/>
              <w:right w:w="80" w:type="dxa"/>
            </w:tcMar>
          </w:tcPr>
          <w:p w14:paraId="1B6DF58A" w14:textId="77777777" w:rsidR="006E697A" w:rsidRPr="00D632D2" w:rsidRDefault="006E697A" w:rsidP="00A53323">
            <w:pPr>
              <w:rPr>
                <w:sz w:val="18"/>
                <w:szCs w:val="18"/>
              </w:rPr>
            </w:pPr>
            <w:r w:rsidRPr="00D632D2">
              <w:rPr>
                <w:sz w:val="18"/>
                <w:szCs w:val="18"/>
              </w:rPr>
              <w:t>Celebrar reuniones presenciales del grupo especial de expertos técnicos</w:t>
            </w:r>
          </w:p>
        </w:tc>
        <w:tc>
          <w:tcPr>
            <w:tcW w:w="2126" w:type="dxa"/>
            <w:shd w:val="clear" w:color="auto" w:fill="auto"/>
            <w:tcMar>
              <w:top w:w="80" w:type="dxa"/>
              <w:left w:w="80" w:type="dxa"/>
              <w:bottom w:w="80" w:type="dxa"/>
              <w:right w:w="80" w:type="dxa"/>
            </w:tcMar>
          </w:tcPr>
          <w:p w14:paraId="647161DB" w14:textId="77777777" w:rsidR="006E697A" w:rsidRPr="00D632D2" w:rsidRDefault="006E697A" w:rsidP="00A53323">
            <w:pPr>
              <w:rPr>
                <w:sz w:val="18"/>
                <w:szCs w:val="18"/>
              </w:rPr>
            </w:pPr>
            <w:r w:rsidRPr="00D632D2">
              <w:rPr>
                <w:sz w:val="18"/>
                <w:szCs w:val="18"/>
              </w:rPr>
              <w:t>Abril de 2019</w:t>
            </w:r>
          </w:p>
        </w:tc>
      </w:tr>
      <w:tr w:rsidR="006E697A" w:rsidRPr="00D632D2" w14:paraId="3ECD0A3D" w14:textId="77777777" w:rsidTr="00A53323">
        <w:trPr>
          <w:trHeight w:val="202"/>
        </w:trPr>
        <w:tc>
          <w:tcPr>
            <w:tcW w:w="5954" w:type="dxa"/>
            <w:shd w:val="clear" w:color="auto" w:fill="auto"/>
            <w:tcMar>
              <w:top w:w="80" w:type="dxa"/>
              <w:left w:w="80" w:type="dxa"/>
              <w:bottom w:w="80" w:type="dxa"/>
              <w:right w:w="80" w:type="dxa"/>
            </w:tcMar>
          </w:tcPr>
          <w:p w14:paraId="384C0274" w14:textId="77777777" w:rsidR="006E697A" w:rsidRPr="00D632D2" w:rsidRDefault="006E697A" w:rsidP="00A53323">
            <w:pPr>
              <w:rPr>
                <w:sz w:val="18"/>
                <w:szCs w:val="18"/>
              </w:rPr>
            </w:pPr>
            <w:r w:rsidRPr="00D632D2">
              <w:rPr>
                <w:sz w:val="18"/>
                <w:szCs w:val="18"/>
              </w:rPr>
              <w:t>Elaborar el proyecto de informe revisado</w:t>
            </w:r>
          </w:p>
        </w:tc>
        <w:tc>
          <w:tcPr>
            <w:tcW w:w="2126" w:type="dxa"/>
            <w:shd w:val="clear" w:color="auto" w:fill="auto"/>
            <w:tcMar>
              <w:top w:w="80" w:type="dxa"/>
              <w:left w:w="80" w:type="dxa"/>
              <w:bottom w:w="80" w:type="dxa"/>
              <w:right w:w="80" w:type="dxa"/>
            </w:tcMar>
          </w:tcPr>
          <w:p w14:paraId="5706E6B1" w14:textId="77777777" w:rsidR="006E697A" w:rsidRPr="00D632D2" w:rsidRDefault="006E697A" w:rsidP="00A53323">
            <w:pPr>
              <w:rPr>
                <w:sz w:val="18"/>
                <w:szCs w:val="18"/>
              </w:rPr>
            </w:pPr>
            <w:r w:rsidRPr="00D632D2">
              <w:rPr>
                <w:sz w:val="18"/>
                <w:szCs w:val="18"/>
              </w:rPr>
              <w:t>Mayo a julio de 2019</w:t>
            </w:r>
          </w:p>
        </w:tc>
      </w:tr>
      <w:tr w:rsidR="006E697A" w:rsidRPr="00D632D2" w14:paraId="76AF7E56" w14:textId="77777777" w:rsidTr="00A53323">
        <w:trPr>
          <w:trHeight w:val="292"/>
        </w:trPr>
        <w:tc>
          <w:tcPr>
            <w:tcW w:w="5954" w:type="dxa"/>
            <w:shd w:val="clear" w:color="auto" w:fill="auto"/>
            <w:tcMar>
              <w:top w:w="80" w:type="dxa"/>
              <w:left w:w="80" w:type="dxa"/>
              <w:bottom w:w="80" w:type="dxa"/>
              <w:right w:w="80" w:type="dxa"/>
            </w:tcMar>
          </w:tcPr>
          <w:p w14:paraId="5B0E9C40" w14:textId="77777777" w:rsidR="006E697A" w:rsidRPr="00D632D2" w:rsidRDefault="006E697A" w:rsidP="00A53323">
            <w:pPr>
              <w:rPr>
                <w:sz w:val="18"/>
                <w:szCs w:val="18"/>
              </w:rPr>
            </w:pPr>
            <w:r w:rsidRPr="00D632D2">
              <w:rPr>
                <w:sz w:val="18"/>
                <w:szCs w:val="18"/>
              </w:rPr>
              <w:t>Abrir el proyecto de informe revisado a las observaciones de las Partes</w:t>
            </w:r>
          </w:p>
        </w:tc>
        <w:tc>
          <w:tcPr>
            <w:tcW w:w="2126" w:type="dxa"/>
            <w:shd w:val="clear" w:color="auto" w:fill="auto"/>
            <w:tcMar>
              <w:top w:w="80" w:type="dxa"/>
              <w:left w:w="80" w:type="dxa"/>
              <w:bottom w:w="80" w:type="dxa"/>
              <w:right w:w="80" w:type="dxa"/>
            </w:tcMar>
          </w:tcPr>
          <w:p w14:paraId="5A8D3823" w14:textId="77777777" w:rsidR="006E697A" w:rsidRPr="00D632D2" w:rsidRDefault="006E697A" w:rsidP="00A53323">
            <w:pPr>
              <w:rPr>
                <w:sz w:val="18"/>
                <w:szCs w:val="18"/>
              </w:rPr>
            </w:pPr>
            <w:r w:rsidRPr="00D632D2">
              <w:rPr>
                <w:sz w:val="18"/>
                <w:szCs w:val="18"/>
              </w:rPr>
              <w:t>Agosto a mediados de septiembre de 2019</w:t>
            </w:r>
          </w:p>
        </w:tc>
      </w:tr>
      <w:tr w:rsidR="006E697A" w:rsidRPr="00D632D2" w14:paraId="0372C36E" w14:textId="77777777" w:rsidTr="00A53323">
        <w:trPr>
          <w:trHeight w:val="202"/>
        </w:trPr>
        <w:tc>
          <w:tcPr>
            <w:tcW w:w="5954" w:type="dxa"/>
            <w:shd w:val="clear" w:color="auto" w:fill="auto"/>
            <w:tcMar>
              <w:top w:w="80" w:type="dxa"/>
              <w:left w:w="80" w:type="dxa"/>
              <w:bottom w:w="80" w:type="dxa"/>
              <w:right w:w="80" w:type="dxa"/>
            </w:tcMar>
          </w:tcPr>
          <w:p w14:paraId="458EB176" w14:textId="77777777" w:rsidR="006E697A" w:rsidRPr="00D632D2" w:rsidRDefault="006E697A" w:rsidP="00A53323">
            <w:pPr>
              <w:rPr>
                <w:sz w:val="18"/>
                <w:szCs w:val="18"/>
              </w:rPr>
            </w:pPr>
            <w:r w:rsidRPr="00D632D2">
              <w:rPr>
                <w:sz w:val="18"/>
                <w:szCs w:val="18"/>
              </w:rPr>
              <w:t>Seguir revisando el informe</w:t>
            </w:r>
          </w:p>
        </w:tc>
        <w:tc>
          <w:tcPr>
            <w:tcW w:w="2126" w:type="dxa"/>
            <w:shd w:val="clear" w:color="auto" w:fill="auto"/>
            <w:tcMar>
              <w:top w:w="80" w:type="dxa"/>
              <w:left w:w="80" w:type="dxa"/>
              <w:bottom w:w="80" w:type="dxa"/>
              <w:right w:w="80" w:type="dxa"/>
            </w:tcMar>
          </w:tcPr>
          <w:p w14:paraId="0E3ADE67" w14:textId="77777777" w:rsidR="006E697A" w:rsidRPr="00D632D2" w:rsidRDefault="006E697A" w:rsidP="00A53323">
            <w:pPr>
              <w:rPr>
                <w:sz w:val="18"/>
                <w:szCs w:val="18"/>
              </w:rPr>
            </w:pPr>
            <w:r w:rsidRPr="00D632D2">
              <w:rPr>
                <w:sz w:val="18"/>
                <w:szCs w:val="18"/>
              </w:rPr>
              <w:t>Septiembre de 2019</w:t>
            </w:r>
          </w:p>
        </w:tc>
      </w:tr>
      <w:tr w:rsidR="006E697A" w:rsidRPr="00D632D2" w14:paraId="745A3145" w14:textId="77777777" w:rsidTr="00A53323">
        <w:trPr>
          <w:trHeight w:val="202"/>
        </w:trPr>
        <w:tc>
          <w:tcPr>
            <w:tcW w:w="5954" w:type="dxa"/>
            <w:tcBorders>
              <w:bottom w:val="single" w:sz="12" w:space="0" w:color="auto"/>
            </w:tcBorders>
            <w:shd w:val="clear" w:color="auto" w:fill="auto"/>
            <w:tcMar>
              <w:top w:w="80" w:type="dxa"/>
              <w:left w:w="80" w:type="dxa"/>
              <w:bottom w:w="80" w:type="dxa"/>
              <w:right w:w="80" w:type="dxa"/>
            </w:tcMar>
          </w:tcPr>
          <w:p w14:paraId="64BFF44D" w14:textId="77777777" w:rsidR="006E697A" w:rsidRPr="00D632D2" w:rsidRDefault="006E697A" w:rsidP="00A53323">
            <w:pPr>
              <w:rPr>
                <w:sz w:val="18"/>
                <w:szCs w:val="18"/>
              </w:rPr>
            </w:pPr>
            <w:r w:rsidRPr="00D632D2">
              <w:rPr>
                <w:sz w:val="18"/>
                <w:szCs w:val="18"/>
              </w:rPr>
              <w:t xml:space="preserve">Poner a disposición el informe final para someterlo a la consideración de la Conferencia de las Partes en su tercera reunión </w:t>
            </w:r>
          </w:p>
        </w:tc>
        <w:tc>
          <w:tcPr>
            <w:tcW w:w="2126" w:type="dxa"/>
            <w:tcBorders>
              <w:bottom w:val="single" w:sz="12" w:space="0" w:color="auto"/>
            </w:tcBorders>
            <w:shd w:val="clear" w:color="auto" w:fill="auto"/>
            <w:tcMar>
              <w:top w:w="80" w:type="dxa"/>
              <w:left w:w="80" w:type="dxa"/>
              <w:bottom w:w="80" w:type="dxa"/>
              <w:right w:w="80" w:type="dxa"/>
            </w:tcMar>
          </w:tcPr>
          <w:p w14:paraId="330C27A8" w14:textId="77777777" w:rsidR="006E697A" w:rsidRPr="00D632D2" w:rsidRDefault="006E697A" w:rsidP="00A53323">
            <w:pPr>
              <w:rPr>
                <w:sz w:val="18"/>
                <w:szCs w:val="18"/>
              </w:rPr>
            </w:pPr>
            <w:r w:rsidRPr="00D632D2">
              <w:rPr>
                <w:sz w:val="18"/>
                <w:szCs w:val="18"/>
              </w:rPr>
              <w:t>Octubre de 2019</w:t>
            </w:r>
          </w:p>
        </w:tc>
      </w:tr>
    </w:tbl>
    <w:p w14:paraId="3C9509C5" w14:textId="35DB0C9B" w:rsidR="003476D8" w:rsidRPr="006E697A" w:rsidRDefault="003476D8" w:rsidP="006E697A">
      <w:pPr>
        <w:pStyle w:val="CH1"/>
        <w:ind w:left="0" w:firstLine="0"/>
      </w:pPr>
    </w:p>
    <w:sectPr w:rsidR="003476D8" w:rsidRPr="006E697A" w:rsidSect="00C450D1">
      <w:headerReference w:type="even" r:id="rId13"/>
      <w:headerReference w:type="default" r:id="rId14"/>
      <w:headerReference w:type="first" r:id="rId15"/>
      <w:footnotePr>
        <w:numRestart w:val="eachSect"/>
      </w:footnotePr>
      <w:pgSz w:w="11900" w:h="16840" w:code="9"/>
      <w:pgMar w:top="907" w:right="992" w:bottom="1418" w:left="1418" w:header="53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915AA" w14:textId="77777777" w:rsidR="009D5F04" w:rsidRDefault="009D5F04">
      <w:r>
        <w:separator/>
      </w:r>
    </w:p>
  </w:endnote>
  <w:endnote w:type="continuationSeparator" w:id="0">
    <w:p w14:paraId="57D235AC" w14:textId="77777777" w:rsidR="009D5F04" w:rsidRDefault="009D5F04">
      <w:r>
        <w:continuationSeparator/>
      </w:r>
    </w:p>
  </w:endnote>
  <w:endnote w:type="continuationNotice" w:id="1">
    <w:p w14:paraId="68216FE0" w14:textId="77777777" w:rsidR="009D5F04" w:rsidRDefault="009D5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53A51" w14:textId="77777777" w:rsidR="009D5F04" w:rsidRPr="008D1ED6" w:rsidRDefault="009D5F04" w:rsidP="00951B3D">
      <w:pPr>
        <w:tabs>
          <w:tab w:val="clear" w:pos="1247"/>
          <w:tab w:val="clear" w:pos="1814"/>
          <w:tab w:val="clear" w:pos="2381"/>
          <w:tab w:val="clear" w:pos="2948"/>
          <w:tab w:val="clear" w:pos="3515"/>
          <w:tab w:val="left" w:pos="624"/>
        </w:tabs>
        <w:spacing w:before="20" w:after="40"/>
        <w:ind w:left="624"/>
        <w:rPr>
          <w:sz w:val="18"/>
          <w:szCs w:val="18"/>
        </w:rPr>
      </w:pPr>
      <w:r w:rsidRPr="008D1ED6">
        <w:rPr>
          <w:sz w:val="18"/>
          <w:szCs w:val="18"/>
        </w:rPr>
        <w:separator/>
      </w:r>
    </w:p>
  </w:footnote>
  <w:footnote w:type="continuationSeparator" w:id="0">
    <w:p w14:paraId="32A61D44" w14:textId="77777777" w:rsidR="009D5F04" w:rsidRDefault="009D5F04">
      <w:r>
        <w:continuationSeparator/>
      </w:r>
    </w:p>
  </w:footnote>
  <w:footnote w:type="continuationNotice" w:id="1">
    <w:p w14:paraId="662E8B8F" w14:textId="77777777" w:rsidR="009D5F04" w:rsidRDefault="009D5F04"/>
  </w:footnote>
  <w:footnote w:id="2">
    <w:p w14:paraId="65A508FC" w14:textId="77777777" w:rsidR="006E697A" w:rsidRPr="00FB5570" w:rsidRDefault="006E697A" w:rsidP="006E697A">
      <w:pPr>
        <w:pStyle w:val="FootnoteText"/>
        <w:rPr>
          <w:szCs w:val="18"/>
          <w:lang w:val="es-ES"/>
        </w:rPr>
      </w:pPr>
      <w:r w:rsidRPr="00390FBE">
        <w:rPr>
          <w:rStyle w:val="FootnoteReference"/>
          <w:rFonts w:eastAsiaTheme="minorEastAsia"/>
          <w:lang w:val="es-ES_tradnl"/>
        </w:rPr>
        <w:footnoteRef/>
      </w:r>
      <w:r w:rsidRPr="00FB5570">
        <w:rPr>
          <w:szCs w:val="18"/>
          <w:lang w:val="es-ES"/>
        </w:rPr>
        <w:t xml:space="preserve"> UNEP/MC/COP.2/INF/8.</w:t>
      </w:r>
    </w:p>
  </w:footnote>
  <w:footnote w:id="3">
    <w:p w14:paraId="0756AB14" w14:textId="77777777" w:rsidR="006E697A" w:rsidRPr="00390FBE" w:rsidRDefault="006E697A" w:rsidP="006E697A">
      <w:pPr>
        <w:pStyle w:val="FootnoteText"/>
        <w:rPr>
          <w:szCs w:val="18"/>
          <w:lang w:val="es-ES_tradnl"/>
        </w:rPr>
      </w:pPr>
      <w:r w:rsidRPr="00390FBE">
        <w:rPr>
          <w:szCs w:val="18"/>
          <w:vertAlign w:val="superscript"/>
          <w:lang w:val="es-ES_tradnl"/>
        </w:rPr>
        <w:footnoteRef/>
      </w:r>
      <w:r w:rsidRPr="00390FBE">
        <w:rPr>
          <w:szCs w:val="18"/>
          <w:lang w:val="es-ES_tradnl"/>
        </w:rPr>
        <w:t xml:space="preserve"> Se aplica el mandato conferido en la decisión MC-1/9, a menos que se indique otra cosa.</w:t>
      </w:r>
    </w:p>
  </w:footnote>
  <w:footnote w:id="4">
    <w:p w14:paraId="22EDD796" w14:textId="77777777" w:rsidR="006E697A" w:rsidRPr="00390FBE" w:rsidRDefault="006E697A" w:rsidP="006E697A">
      <w:pPr>
        <w:pStyle w:val="FootnoteText"/>
        <w:rPr>
          <w:szCs w:val="18"/>
          <w:lang w:val="es-ES_tradnl"/>
        </w:rPr>
      </w:pPr>
      <w:r w:rsidRPr="00390FBE">
        <w:rPr>
          <w:szCs w:val="18"/>
          <w:vertAlign w:val="superscript"/>
          <w:lang w:val="es-ES_tradnl"/>
        </w:rPr>
        <w:footnoteRef/>
      </w:r>
      <w:r w:rsidRPr="00390FBE">
        <w:rPr>
          <w:szCs w:val="18"/>
          <w:lang w:val="es-ES_tradnl"/>
        </w:rPr>
        <w:t xml:space="preserve"> Los datos disponibles incluyen los datos con que se cuenta actualmente y los datos que se compilen en el futuro.</w:t>
      </w:r>
    </w:p>
  </w:footnote>
  <w:footnote w:id="5">
    <w:p w14:paraId="19746D9C" w14:textId="77777777" w:rsidR="006E697A" w:rsidRPr="00390FBE" w:rsidRDefault="006E697A" w:rsidP="006E697A">
      <w:pPr>
        <w:pStyle w:val="Text"/>
        <w:tabs>
          <w:tab w:val="left" w:pos="624"/>
        </w:tabs>
        <w:spacing w:before="20" w:after="40"/>
        <w:ind w:left="1247"/>
        <w:rPr>
          <w:sz w:val="18"/>
          <w:szCs w:val="18"/>
          <w:lang w:val="es-ES_tradnl"/>
        </w:rPr>
      </w:pPr>
      <w:r w:rsidRPr="00390FBE">
        <w:rPr>
          <w:sz w:val="18"/>
          <w:szCs w:val="18"/>
          <w:vertAlign w:val="superscript"/>
          <w:lang w:val="es-ES_tradnl"/>
        </w:rPr>
        <w:footnoteRef/>
      </w:r>
      <w:r w:rsidRPr="00390FBE">
        <w:rPr>
          <w:sz w:val="18"/>
          <w:szCs w:val="18"/>
          <w:lang w:val="es-ES_tradnl"/>
        </w:rPr>
        <w:t xml:space="preserve"> Los datos son comparables cuando se compilan utilizando metodologías idénticas. Los datos también pueden hacerse comparables utilizando metodologías científicas normalizadas y conocidas.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0A4E27BB" w:rsidR="00454804" w:rsidRPr="00417FE2" w:rsidRDefault="00454804">
    <w:pPr>
      <w:pStyle w:val="Header"/>
      <w:rPr>
        <w:szCs w:val="18"/>
      </w:rPr>
    </w:pPr>
    <w:r w:rsidRPr="009C52E8">
      <w:rPr>
        <w:bCs/>
        <w:szCs w:val="18"/>
      </w:rPr>
      <w:t>UNEP</w:t>
    </w:r>
    <w:r w:rsidRPr="009C52E8">
      <w:rPr>
        <w:szCs w:val="18"/>
      </w:rPr>
      <w:t>/MC/COP.</w:t>
    </w:r>
    <w:r w:rsidR="003739C1">
      <w:rPr>
        <w:szCs w:val="18"/>
      </w:rPr>
      <w:t>2</w:t>
    </w:r>
    <w:r w:rsidRPr="009C52E8">
      <w:rPr>
        <w:szCs w:val="18"/>
      </w:rPr>
      <w:t>/</w:t>
    </w:r>
    <w:r w:rsidR="00367391">
      <w:rPr>
        <w:szCs w:val="18"/>
      </w:rPr>
      <w:t>Dec</w:t>
    </w:r>
    <w:r w:rsidR="0075660C">
      <w:rPr>
        <w:szCs w:val="18"/>
      </w:rPr>
      <w:t>.</w:t>
    </w:r>
    <w:r w:rsidR="006E697A">
      <w:rPr>
        <w:szCs w:val="18"/>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72D3AFD2" w:rsidR="00454804" w:rsidRPr="00417FE2" w:rsidRDefault="00454804" w:rsidP="00417FE2">
    <w:pPr>
      <w:pStyle w:val="Header"/>
      <w:jc w:val="right"/>
      <w:rPr>
        <w:szCs w:val="18"/>
      </w:rPr>
    </w:pPr>
    <w:r w:rsidRPr="009C52E8">
      <w:rPr>
        <w:bCs/>
        <w:szCs w:val="18"/>
      </w:rPr>
      <w:t>UNEP</w:t>
    </w:r>
    <w:r w:rsidRPr="009C52E8">
      <w:rPr>
        <w:szCs w:val="18"/>
      </w:rPr>
      <w:t>/MC/COP.</w:t>
    </w:r>
    <w:r w:rsidR="003739C1">
      <w:rPr>
        <w:szCs w:val="18"/>
      </w:rPr>
      <w:t>2</w:t>
    </w:r>
    <w:r w:rsidRPr="009C52E8">
      <w:rPr>
        <w:szCs w:val="18"/>
      </w:rPr>
      <w:t>/</w:t>
    </w:r>
    <w:r w:rsidR="00367391">
      <w:rPr>
        <w:szCs w:val="18"/>
      </w:rPr>
      <w:t>Dec.</w:t>
    </w:r>
    <w:r w:rsidR="006E697A">
      <w:rPr>
        <w:szCs w:val="18"/>
      </w:rPr>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46C09815" w:rsidR="00454804" w:rsidRPr="003F4DA7" w:rsidRDefault="00454804" w:rsidP="00FE7E26">
    <w:pPr>
      <w:pStyle w:val="Header"/>
      <w:rPr>
        <w:szCs w:val="18"/>
      </w:rPr>
    </w:pPr>
    <w:r w:rsidRPr="009C52E8">
      <w:rPr>
        <w:bCs/>
        <w:szCs w:val="18"/>
      </w:rPr>
      <w:t>UNEP</w:t>
    </w:r>
    <w:r w:rsidRPr="009C52E8">
      <w:rPr>
        <w:szCs w:val="18"/>
      </w:rPr>
      <w:t>/MC/COP.3/</w:t>
    </w:r>
    <w:r w:rsidR="001863B5">
      <w:rPr>
        <w:szCs w:val="18"/>
      </w:rPr>
      <w:t>Dec.1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19E7BB8"/>
    <w:multiLevelType w:val="hybridMultilevel"/>
    <w:tmpl w:val="0C3A6C48"/>
    <w:lvl w:ilvl="0" w:tplc="04090017">
      <w:start w:val="1"/>
      <w:numFmt w:val="lowerLetter"/>
      <w:lvlText w:val="%1)"/>
      <w:lvlJc w:val="left"/>
      <w:pPr>
        <w:ind w:left="2591" w:hanging="360"/>
      </w:pPr>
    </w:lvl>
    <w:lvl w:ilvl="1" w:tplc="0C0A0019" w:tentative="1">
      <w:start w:val="1"/>
      <w:numFmt w:val="lowerLetter"/>
      <w:lvlText w:val="%2."/>
      <w:lvlJc w:val="left"/>
      <w:pPr>
        <w:ind w:left="3311" w:hanging="360"/>
      </w:pPr>
    </w:lvl>
    <w:lvl w:ilvl="2" w:tplc="0C0A001B" w:tentative="1">
      <w:start w:val="1"/>
      <w:numFmt w:val="lowerRoman"/>
      <w:lvlText w:val="%3."/>
      <w:lvlJc w:val="right"/>
      <w:pPr>
        <w:ind w:left="4031" w:hanging="180"/>
      </w:pPr>
    </w:lvl>
    <w:lvl w:ilvl="3" w:tplc="0C0A000F" w:tentative="1">
      <w:start w:val="1"/>
      <w:numFmt w:val="decimal"/>
      <w:lvlText w:val="%4."/>
      <w:lvlJc w:val="left"/>
      <w:pPr>
        <w:ind w:left="4751" w:hanging="360"/>
      </w:pPr>
    </w:lvl>
    <w:lvl w:ilvl="4" w:tplc="0C0A0019" w:tentative="1">
      <w:start w:val="1"/>
      <w:numFmt w:val="lowerLetter"/>
      <w:lvlText w:val="%5."/>
      <w:lvlJc w:val="left"/>
      <w:pPr>
        <w:ind w:left="5471" w:hanging="360"/>
      </w:pPr>
    </w:lvl>
    <w:lvl w:ilvl="5" w:tplc="0C0A001B" w:tentative="1">
      <w:start w:val="1"/>
      <w:numFmt w:val="lowerRoman"/>
      <w:lvlText w:val="%6."/>
      <w:lvlJc w:val="right"/>
      <w:pPr>
        <w:ind w:left="6191" w:hanging="180"/>
      </w:pPr>
    </w:lvl>
    <w:lvl w:ilvl="6" w:tplc="0C0A000F" w:tentative="1">
      <w:start w:val="1"/>
      <w:numFmt w:val="decimal"/>
      <w:lvlText w:val="%7."/>
      <w:lvlJc w:val="left"/>
      <w:pPr>
        <w:ind w:left="6911" w:hanging="360"/>
      </w:pPr>
    </w:lvl>
    <w:lvl w:ilvl="7" w:tplc="0C0A0019" w:tentative="1">
      <w:start w:val="1"/>
      <w:numFmt w:val="lowerLetter"/>
      <w:lvlText w:val="%8."/>
      <w:lvlJc w:val="left"/>
      <w:pPr>
        <w:ind w:left="7631" w:hanging="360"/>
      </w:pPr>
    </w:lvl>
    <w:lvl w:ilvl="8" w:tplc="0C0A001B" w:tentative="1">
      <w:start w:val="1"/>
      <w:numFmt w:val="lowerRoman"/>
      <w:lvlText w:val="%9."/>
      <w:lvlJc w:val="right"/>
      <w:pPr>
        <w:ind w:left="8351" w:hanging="180"/>
      </w:pPr>
    </w:lvl>
  </w:abstractNum>
  <w:abstractNum w:abstractNumId="3" w15:restartNumberingAfterBreak="0">
    <w:nsid w:val="1AC24500"/>
    <w:multiLevelType w:val="hybridMultilevel"/>
    <w:tmpl w:val="876CC2D2"/>
    <w:lvl w:ilvl="0" w:tplc="0C0A000F">
      <w:start w:val="1"/>
      <w:numFmt w:val="decimal"/>
      <w:lvlText w:val="%1."/>
      <w:lvlJc w:val="left"/>
      <w:pPr>
        <w:ind w:left="1967" w:hanging="360"/>
      </w:pPr>
    </w:lvl>
    <w:lvl w:ilvl="1" w:tplc="0C0A0019" w:tentative="1">
      <w:start w:val="1"/>
      <w:numFmt w:val="lowerLetter"/>
      <w:lvlText w:val="%2."/>
      <w:lvlJc w:val="left"/>
      <w:pPr>
        <w:ind w:left="2687" w:hanging="360"/>
      </w:pPr>
    </w:lvl>
    <w:lvl w:ilvl="2" w:tplc="0C0A001B" w:tentative="1">
      <w:start w:val="1"/>
      <w:numFmt w:val="lowerRoman"/>
      <w:lvlText w:val="%3."/>
      <w:lvlJc w:val="right"/>
      <w:pPr>
        <w:ind w:left="3407" w:hanging="180"/>
      </w:pPr>
    </w:lvl>
    <w:lvl w:ilvl="3" w:tplc="0C0A000F" w:tentative="1">
      <w:start w:val="1"/>
      <w:numFmt w:val="decimal"/>
      <w:lvlText w:val="%4."/>
      <w:lvlJc w:val="left"/>
      <w:pPr>
        <w:ind w:left="4127" w:hanging="360"/>
      </w:pPr>
    </w:lvl>
    <w:lvl w:ilvl="4" w:tplc="0C0A0019" w:tentative="1">
      <w:start w:val="1"/>
      <w:numFmt w:val="lowerLetter"/>
      <w:lvlText w:val="%5."/>
      <w:lvlJc w:val="left"/>
      <w:pPr>
        <w:ind w:left="4847" w:hanging="360"/>
      </w:pPr>
    </w:lvl>
    <w:lvl w:ilvl="5" w:tplc="0C0A001B" w:tentative="1">
      <w:start w:val="1"/>
      <w:numFmt w:val="lowerRoman"/>
      <w:lvlText w:val="%6."/>
      <w:lvlJc w:val="right"/>
      <w:pPr>
        <w:ind w:left="5567" w:hanging="180"/>
      </w:pPr>
    </w:lvl>
    <w:lvl w:ilvl="6" w:tplc="0C0A000F" w:tentative="1">
      <w:start w:val="1"/>
      <w:numFmt w:val="decimal"/>
      <w:lvlText w:val="%7."/>
      <w:lvlJc w:val="left"/>
      <w:pPr>
        <w:ind w:left="6287" w:hanging="360"/>
      </w:pPr>
    </w:lvl>
    <w:lvl w:ilvl="7" w:tplc="0C0A0019" w:tentative="1">
      <w:start w:val="1"/>
      <w:numFmt w:val="lowerLetter"/>
      <w:lvlText w:val="%8."/>
      <w:lvlJc w:val="left"/>
      <w:pPr>
        <w:ind w:left="7007" w:hanging="360"/>
      </w:pPr>
    </w:lvl>
    <w:lvl w:ilvl="8" w:tplc="0C0A001B" w:tentative="1">
      <w:start w:val="1"/>
      <w:numFmt w:val="lowerRoman"/>
      <w:lvlText w:val="%9."/>
      <w:lvlJc w:val="right"/>
      <w:pPr>
        <w:ind w:left="7727" w:hanging="180"/>
      </w:pPr>
    </w:lvl>
  </w:abstractNum>
  <w:abstractNum w:abstractNumId="4"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15:restartNumberingAfterBreak="0">
    <w:nsid w:val="23884FA4"/>
    <w:multiLevelType w:val="hybridMultilevel"/>
    <w:tmpl w:val="00AE56BA"/>
    <w:styleLink w:val="Normallist5"/>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4FF7BCD"/>
    <w:multiLevelType w:val="hybridMultilevel"/>
    <w:tmpl w:val="DE5AC4E0"/>
    <w:lvl w:ilvl="0" w:tplc="3C785296">
      <w:start w:val="1"/>
      <w:numFmt w:val="decimal"/>
      <w:pStyle w:val="Style1"/>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D4B55D4"/>
    <w:multiLevelType w:val="multilevel"/>
    <w:tmpl w:val="F5E633EA"/>
    <w:lvl w:ilvl="0">
      <w:start w:val="1"/>
      <w:numFmt w:val="decimal"/>
      <w:lvlText w:val="%1."/>
      <w:lvlJc w:val="left"/>
      <w:pPr>
        <w:ind w:left="2591" w:hanging="360"/>
      </w:pPr>
    </w:lvl>
    <w:lvl w:ilvl="1">
      <w:start w:val="1"/>
      <w:numFmt w:val="decimal"/>
      <w:isLgl/>
      <w:lvlText w:val="%1.%2."/>
      <w:lvlJc w:val="left"/>
      <w:pPr>
        <w:ind w:left="2591" w:hanging="360"/>
      </w:pPr>
      <w:rPr>
        <w:rFonts w:hint="default"/>
        <w:color w:val="auto"/>
      </w:rPr>
    </w:lvl>
    <w:lvl w:ilvl="2">
      <w:start w:val="1"/>
      <w:numFmt w:val="decimal"/>
      <w:isLgl/>
      <w:lvlText w:val="%1.%2.%3."/>
      <w:lvlJc w:val="left"/>
      <w:pPr>
        <w:ind w:left="2951" w:hanging="720"/>
      </w:pPr>
      <w:rPr>
        <w:rFonts w:hint="default"/>
        <w:color w:val="auto"/>
      </w:rPr>
    </w:lvl>
    <w:lvl w:ilvl="3">
      <w:start w:val="1"/>
      <w:numFmt w:val="decimal"/>
      <w:isLgl/>
      <w:lvlText w:val="%1.%2.%3.%4."/>
      <w:lvlJc w:val="left"/>
      <w:pPr>
        <w:ind w:left="2951" w:hanging="720"/>
      </w:pPr>
      <w:rPr>
        <w:rFonts w:hint="default"/>
        <w:color w:val="auto"/>
      </w:rPr>
    </w:lvl>
    <w:lvl w:ilvl="4">
      <w:start w:val="1"/>
      <w:numFmt w:val="decimal"/>
      <w:isLgl/>
      <w:lvlText w:val="%1.%2.%3.%4.%5."/>
      <w:lvlJc w:val="left"/>
      <w:pPr>
        <w:ind w:left="2951" w:hanging="720"/>
      </w:pPr>
      <w:rPr>
        <w:rFonts w:hint="default"/>
        <w:color w:val="auto"/>
      </w:rPr>
    </w:lvl>
    <w:lvl w:ilvl="5">
      <w:start w:val="1"/>
      <w:numFmt w:val="decimal"/>
      <w:isLgl/>
      <w:lvlText w:val="%1.%2.%3.%4.%5.%6."/>
      <w:lvlJc w:val="left"/>
      <w:pPr>
        <w:ind w:left="3311" w:hanging="1080"/>
      </w:pPr>
      <w:rPr>
        <w:rFonts w:hint="default"/>
        <w:color w:val="auto"/>
      </w:rPr>
    </w:lvl>
    <w:lvl w:ilvl="6">
      <w:start w:val="1"/>
      <w:numFmt w:val="decimal"/>
      <w:isLgl/>
      <w:lvlText w:val="%1.%2.%3.%4.%5.%6.%7."/>
      <w:lvlJc w:val="left"/>
      <w:pPr>
        <w:ind w:left="3311" w:hanging="1080"/>
      </w:pPr>
      <w:rPr>
        <w:rFonts w:hint="default"/>
        <w:color w:val="auto"/>
      </w:rPr>
    </w:lvl>
    <w:lvl w:ilvl="7">
      <w:start w:val="1"/>
      <w:numFmt w:val="decimal"/>
      <w:isLgl/>
      <w:lvlText w:val="%1.%2.%3.%4.%5.%6.%7.%8."/>
      <w:lvlJc w:val="left"/>
      <w:pPr>
        <w:ind w:left="3311" w:hanging="1080"/>
      </w:pPr>
      <w:rPr>
        <w:rFonts w:hint="default"/>
        <w:color w:val="auto"/>
      </w:rPr>
    </w:lvl>
    <w:lvl w:ilvl="8">
      <w:start w:val="1"/>
      <w:numFmt w:val="decimal"/>
      <w:isLgl/>
      <w:lvlText w:val="%1.%2.%3.%4.%5.%6.%7.%8.%9."/>
      <w:lvlJc w:val="left"/>
      <w:pPr>
        <w:ind w:left="3671" w:hanging="1440"/>
      </w:pPr>
      <w:rPr>
        <w:rFonts w:hint="default"/>
        <w:color w:val="auto"/>
      </w:rPr>
    </w:lvl>
  </w:abstractNum>
  <w:abstractNum w:abstractNumId="9"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10"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1" w15:restartNumberingAfterBreak="0">
    <w:nsid w:val="37D05E41"/>
    <w:multiLevelType w:val="hybridMultilevel"/>
    <w:tmpl w:val="05109DB0"/>
    <w:numStyleLink w:val="Importovanstyl9"/>
  </w:abstractNum>
  <w:abstractNum w:abstractNumId="12"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2A66A9D"/>
    <w:multiLevelType w:val="multilevel"/>
    <w:tmpl w:val="6B4E00DA"/>
    <w:styleLink w:val="Normallist4"/>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5" w15:restartNumberingAfterBreak="0">
    <w:nsid w:val="6DCB6028"/>
    <w:multiLevelType w:val="hybridMultilevel"/>
    <w:tmpl w:val="28C2EC16"/>
    <w:lvl w:ilvl="0" w:tplc="78083696">
      <w:start w:val="1"/>
      <w:numFmt w:val="lowerLetter"/>
      <w:lvlText w:val="(%1)"/>
      <w:lvlJc w:val="left"/>
      <w:pPr>
        <w:tabs>
          <w:tab w:val="left" w:pos="1248"/>
        </w:tabs>
        <w:ind w:left="984" w:hanging="360"/>
      </w:pPr>
      <w:rPr>
        <w:rFonts w:hint="default"/>
        <w:caps w:val="0"/>
        <w:smallCaps w:val="0"/>
        <w:strike w:val="0"/>
        <w:dstrike w:val="0"/>
        <w:outline w:val="0"/>
        <w:emboss w:val="0"/>
        <w:imprint w:val="0"/>
        <w:spacing w:val="0"/>
        <w:w w:val="100"/>
        <w:kern w:val="0"/>
        <w:position w:val="0"/>
        <w:highlight w:val="none"/>
        <w:vertAlign w:val="baseline"/>
      </w:rPr>
    </w:lvl>
    <w:lvl w:ilvl="1" w:tplc="8D5C6724">
      <w:start w:val="1"/>
      <w:numFmt w:val="aiueoFullWidth"/>
      <w:suff w:val="nothing"/>
      <w:lvlText w:val="(%2)"/>
      <w:lvlJc w:val="left"/>
      <w:pPr>
        <w:tabs>
          <w:tab w:val="left" w:pos="984"/>
          <w:tab w:val="left" w:pos="624"/>
        </w:tabs>
        <w:ind w:left="1044" w:hanging="204"/>
      </w:pPr>
      <w:rPr>
        <w:rFonts w:hAnsi="Arial Unicode MS"/>
        <w:caps w:val="0"/>
        <w:smallCaps w:val="0"/>
        <w:strike w:val="0"/>
        <w:dstrike w:val="0"/>
        <w:outline w:val="0"/>
        <w:emboss w:val="0"/>
        <w:imprint w:val="0"/>
        <w:spacing w:val="0"/>
        <w:w w:val="100"/>
        <w:kern w:val="0"/>
        <w:position w:val="0"/>
        <w:highlight w:val="none"/>
        <w:vertAlign w:val="baseline"/>
      </w:rPr>
    </w:lvl>
    <w:lvl w:ilvl="2" w:tplc="30942BB4">
      <w:start w:val="1"/>
      <w:numFmt w:val="decimalEnclosedCircle"/>
      <w:lvlText w:val="%3"/>
      <w:lvlJc w:val="left"/>
      <w:pPr>
        <w:tabs>
          <w:tab w:val="left" w:pos="984"/>
        </w:tabs>
        <w:ind w:left="1464" w:hanging="408"/>
      </w:pPr>
      <w:rPr>
        <w:rFonts w:hAnsi="Arial Unicode MS"/>
        <w:caps w:val="0"/>
        <w:smallCaps w:val="0"/>
        <w:strike w:val="0"/>
        <w:dstrike w:val="0"/>
        <w:outline w:val="0"/>
        <w:emboss w:val="0"/>
        <w:imprint w:val="0"/>
        <w:spacing w:val="0"/>
        <w:w w:val="100"/>
        <w:kern w:val="0"/>
        <w:position w:val="0"/>
        <w:highlight w:val="none"/>
        <w:vertAlign w:val="baseline"/>
      </w:rPr>
    </w:lvl>
    <w:lvl w:ilvl="3" w:tplc="0ABE5C08">
      <w:start w:val="1"/>
      <w:numFmt w:val="decimal"/>
      <w:lvlText w:val="%4."/>
      <w:lvlJc w:val="left"/>
      <w:pPr>
        <w:tabs>
          <w:tab w:val="left" w:pos="984"/>
          <w:tab w:val="left" w:pos="624"/>
        </w:tabs>
        <w:ind w:left="1884" w:hanging="612"/>
      </w:pPr>
      <w:rPr>
        <w:rFonts w:hAnsi="Arial Unicode MS"/>
        <w:caps w:val="0"/>
        <w:smallCaps w:val="0"/>
        <w:strike w:val="0"/>
        <w:dstrike w:val="0"/>
        <w:outline w:val="0"/>
        <w:emboss w:val="0"/>
        <w:imprint w:val="0"/>
        <w:spacing w:val="0"/>
        <w:w w:val="100"/>
        <w:kern w:val="0"/>
        <w:position w:val="0"/>
        <w:highlight w:val="none"/>
        <w:vertAlign w:val="baseline"/>
      </w:rPr>
    </w:lvl>
    <w:lvl w:ilvl="4" w:tplc="F1200118">
      <w:start w:val="1"/>
      <w:numFmt w:val="aiueoFullWidth"/>
      <w:suff w:val="nothing"/>
      <w:lvlText w:val="(%5)"/>
      <w:lvlJc w:val="left"/>
      <w:pPr>
        <w:tabs>
          <w:tab w:val="left" w:pos="984"/>
          <w:tab w:val="left" w:pos="624"/>
        </w:tabs>
        <w:ind w:left="2304" w:hanging="192"/>
      </w:pPr>
      <w:rPr>
        <w:rFonts w:hAnsi="Arial Unicode MS"/>
        <w:caps w:val="0"/>
        <w:smallCaps w:val="0"/>
        <w:strike w:val="0"/>
        <w:dstrike w:val="0"/>
        <w:outline w:val="0"/>
        <w:emboss w:val="0"/>
        <w:imprint w:val="0"/>
        <w:spacing w:val="0"/>
        <w:w w:val="100"/>
        <w:kern w:val="0"/>
        <w:position w:val="0"/>
        <w:highlight w:val="none"/>
        <w:vertAlign w:val="baseline"/>
      </w:rPr>
    </w:lvl>
    <w:lvl w:ilvl="5" w:tplc="69CC4366">
      <w:start w:val="1"/>
      <w:numFmt w:val="decimalEnclosedCircle"/>
      <w:lvlText w:val="%6"/>
      <w:lvlJc w:val="left"/>
      <w:pPr>
        <w:tabs>
          <w:tab w:val="left" w:pos="984"/>
          <w:tab w:val="left" w:pos="624"/>
        </w:tabs>
        <w:ind w:left="2724" w:hanging="396"/>
      </w:pPr>
      <w:rPr>
        <w:rFonts w:hAnsi="Arial Unicode MS"/>
        <w:caps w:val="0"/>
        <w:smallCaps w:val="0"/>
        <w:strike w:val="0"/>
        <w:dstrike w:val="0"/>
        <w:outline w:val="0"/>
        <w:emboss w:val="0"/>
        <w:imprint w:val="0"/>
        <w:spacing w:val="0"/>
        <w:w w:val="100"/>
        <w:kern w:val="0"/>
        <w:position w:val="0"/>
        <w:highlight w:val="none"/>
        <w:vertAlign w:val="baseline"/>
      </w:rPr>
    </w:lvl>
    <w:lvl w:ilvl="6" w:tplc="046E3DF6">
      <w:start w:val="1"/>
      <w:numFmt w:val="decimal"/>
      <w:lvlText w:val="%7."/>
      <w:lvlJc w:val="left"/>
      <w:pPr>
        <w:tabs>
          <w:tab w:val="left" w:pos="984"/>
          <w:tab w:val="left" w:pos="624"/>
        </w:tabs>
        <w:ind w:left="3144" w:hanging="600"/>
      </w:pPr>
      <w:rPr>
        <w:rFonts w:hAnsi="Arial Unicode MS"/>
        <w:caps w:val="0"/>
        <w:smallCaps w:val="0"/>
        <w:strike w:val="0"/>
        <w:dstrike w:val="0"/>
        <w:outline w:val="0"/>
        <w:emboss w:val="0"/>
        <w:imprint w:val="0"/>
        <w:spacing w:val="0"/>
        <w:w w:val="100"/>
        <w:kern w:val="0"/>
        <w:position w:val="0"/>
        <w:highlight w:val="none"/>
        <w:vertAlign w:val="baseline"/>
      </w:rPr>
    </w:lvl>
    <w:lvl w:ilvl="7" w:tplc="54D279F4">
      <w:start w:val="1"/>
      <w:numFmt w:val="aiueoFullWidth"/>
      <w:suff w:val="nothing"/>
      <w:lvlText w:val="(%8)"/>
      <w:lvlJc w:val="left"/>
      <w:pPr>
        <w:tabs>
          <w:tab w:val="left" w:pos="984"/>
          <w:tab w:val="left" w:pos="624"/>
        </w:tabs>
        <w:ind w:left="3564"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F394351E">
      <w:start w:val="1"/>
      <w:numFmt w:val="decimalEnclosedCircle"/>
      <w:lvlText w:val="%9"/>
      <w:lvlJc w:val="left"/>
      <w:pPr>
        <w:tabs>
          <w:tab w:val="left" w:pos="984"/>
          <w:tab w:val="left" w:pos="624"/>
        </w:tabs>
        <w:ind w:left="3984" w:hanging="3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B7F19E1"/>
    <w:multiLevelType w:val="hybridMultilevel"/>
    <w:tmpl w:val="042EB43A"/>
    <w:lvl w:ilvl="0" w:tplc="78083696">
      <w:start w:val="1"/>
      <w:numFmt w:val="lowerLetter"/>
      <w:lvlText w:val="(%1)"/>
      <w:lvlJc w:val="left"/>
      <w:pPr>
        <w:ind w:left="984" w:hanging="360"/>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num w:numId="1">
    <w:abstractNumId w:val="14"/>
  </w:num>
  <w:num w:numId="2">
    <w:abstractNumId w:val="4"/>
  </w:num>
  <w:num w:numId="3">
    <w:abstractNumId w:val="10"/>
  </w:num>
  <w:num w:numId="4">
    <w:abstractNumId w:val="9"/>
  </w:num>
  <w:num w:numId="5">
    <w:abstractNumId w:val="0"/>
  </w:num>
  <w:num w:numId="6">
    <w:abstractNumId w:val="7"/>
  </w:num>
  <w:num w:numId="7">
    <w:abstractNumId w:val="12"/>
  </w:num>
  <w:num w:numId="8">
    <w:abstractNumId w:val="5"/>
  </w:num>
  <w:num w:numId="9">
    <w:abstractNumId w:val="13"/>
  </w:num>
  <w:num w:numId="10">
    <w:abstractNumId w:val="1"/>
  </w:num>
  <w:num w:numId="11">
    <w:abstractNumId w:val="6"/>
    <w:lvlOverride w:ilvl="0">
      <w:lvl w:ilvl="0" w:tplc="3C785296">
        <w:start w:val="1"/>
        <w:numFmt w:val="decimal"/>
        <w:pStyle w:val="Style1"/>
        <w:lvlText w:val="%1."/>
        <w:lvlJc w:val="left"/>
        <w:pPr>
          <w:ind w:left="720" w:hanging="360"/>
        </w:pPr>
      </w:lvl>
    </w:lvlOverride>
  </w:num>
  <w:num w:numId="12">
    <w:abstractNumId w:val="14"/>
    <w:lvlOverride w:ilvl="0">
      <w:startOverride w:val="6"/>
      <w:lvl w:ilvl="0">
        <w:start w:val="6"/>
        <w:numFmt w:val="decimal"/>
        <w:lvlText w:val="%1."/>
        <w:lvlJc w:val="left"/>
        <w:pPr>
          <w:tabs>
            <w:tab w:val="num" w:pos="1134"/>
          </w:tabs>
          <w:ind w:left="1247" w:firstLine="0"/>
        </w:pPr>
        <w:rPr>
          <w:rFonts w:hint="default"/>
          <w:i w:val="0"/>
          <w:strike w:val="0"/>
        </w:rPr>
      </w:lvl>
    </w:lvlOverride>
  </w:num>
  <w:num w:numId="13">
    <w:abstractNumId w:val="11"/>
    <w:lvlOverride w:ilvl="0">
      <w:lvl w:ilvl="0" w:tplc="9716B83E">
        <w:start w:val="1"/>
        <w:numFmt w:val="lowerLetter"/>
        <w:lvlText w:val="%1)"/>
        <w:lvlJc w:val="left"/>
        <w:pPr>
          <w:tabs>
            <w:tab w:val="num" w:pos="624"/>
            <w:tab w:val="left" w:pos="81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FFC8236">
        <w:start w:val="1"/>
        <w:numFmt w:val="lowerRoman"/>
        <w:suff w:val="nothing"/>
        <w:lvlText w:val="%2."/>
        <w:lvlJc w:val="left"/>
        <w:pPr>
          <w:tabs>
            <w:tab w:val="left" w:pos="624"/>
            <w:tab w:val="left" w:pos="810"/>
          </w:tabs>
          <w:ind w:left="906"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58A3EBC">
        <w:start w:val="1"/>
        <w:numFmt w:val="decimalEnclosedCircle"/>
        <w:lvlText w:val="%3"/>
        <w:lvlJc w:val="left"/>
        <w:pPr>
          <w:tabs>
            <w:tab w:val="left" w:pos="624"/>
            <w:tab w:val="left" w:pos="810"/>
            <w:tab w:val="num" w:pos="1560"/>
          </w:tabs>
          <w:ind w:left="1656"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1508B84">
        <w:start w:val="1"/>
        <w:numFmt w:val="decimal"/>
        <w:lvlText w:val="%4."/>
        <w:lvlJc w:val="left"/>
        <w:pPr>
          <w:tabs>
            <w:tab w:val="left" w:pos="624"/>
            <w:tab w:val="left" w:pos="810"/>
            <w:tab w:val="num" w:pos="1980"/>
          </w:tabs>
          <w:ind w:left="2076"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B162000">
        <w:start w:val="1"/>
        <w:numFmt w:val="aiueoFullWidth"/>
        <w:lvlText w:val="(%5)"/>
        <w:lvlJc w:val="left"/>
        <w:pPr>
          <w:tabs>
            <w:tab w:val="left" w:pos="624"/>
            <w:tab w:val="left" w:pos="810"/>
            <w:tab w:val="num" w:pos="2400"/>
          </w:tabs>
          <w:ind w:left="2496"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E7E143C">
        <w:start w:val="1"/>
        <w:numFmt w:val="decimalEnclosedCircle"/>
        <w:lvlText w:val="%6"/>
        <w:lvlJc w:val="left"/>
        <w:pPr>
          <w:tabs>
            <w:tab w:val="left" w:pos="624"/>
            <w:tab w:val="left" w:pos="810"/>
            <w:tab w:val="num" w:pos="2820"/>
          </w:tabs>
          <w:ind w:left="2916"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1C32EC">
        <w:start w:val="1"/>
        <w:numFmt w:val="decimal"/>
        <w:lvlText w:val="%7."/>
        <w:lvlJc w:val="left"/>
        <w:pPr>
          <w:tabs>
            <w:tab w:val="left" w:pos="624"/>
            <w:tab w:val="left" w:pos="810"/>
            <w:tab w:val="num" w:pos="3240"/>
          </w:tabs>
          <w:ind w:left="3336"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37C8CD2">
        <w:start w:val="1"/>
        <w:numFmt w:val="aiueoFullWidth"/>
        <w:lvlText w:val="(%8)"/>
        <w:lvlJc w:val="left"/>
        <w:pPr>
          <w:tabs>
            <w:tab w:val="left" w:pos="624"/>
            <w:tab w:val="left" w:pos="810"/>
            <w:tab w:val="num" w:pos="3660"/>
          </w:tabs>
          <w:ind w:left="3756"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2D6BDE4">
        <w:start w:val="1"/>
        <w:numFmt w:val="decimalEnclosedCircle"/>
        <w:lvlText w:val="%9"/>
        <w:lvlJc w:val="left"/>
        <w:pPr>
          <w:tabs>
            <w:tab w:val="left" w:pos="624"/>
            <w:tab w:val="left" w:pos="810"/>
            <w:tab w:val="num" w:pos="4080"/>
          </w:tabs>
          <w:ind w:left="4176"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15"/>
    <w:lvlOverride w:ilvl="0">
      <w:lvl w:ilvl="0" w:tplc="78083696">
        <w:start w:val="1"/>
        <w:numFmt w:val="lowerLetter"/>
        <w:lvlText w:val="%1)"/>
        <w:lvlJc w:val="left"/>
        <w:pPr>
          <w:tabs>
            <w:tab w:val="left" w:pos="1248"/>
          </w:tabs>
          <w:ind w:left="984" w:hanging="360"/>
        </w:pPr>
        <w:rPr>
          <w:rFonts w:hint="default"/>
          <w:caps w:val="0"/>
          <w:smallCaps w:val="0"/>
          <w:strike w:val="0"/>
          <w:dstrike w:val="0"/>
          <w:outline w:val="0"/>
          <w:emboss w:val="0"/>
          <w:imprint w:val="0"/>
          <w:spacing w:val="0"/>
          <w:w w:val="100"/>
          <w:kern w:val="0"/>
          <w:position w:val="0"/>
          <w:highlight w:val="none"/>
          <w:vertAlign w:val="baseline"/>
        </w:rPr>
      </w:lvl>
    </w:lvlOverride>
  </w:num>
  <w:num w:numId="15">
    <w:abstractNumId w:val="16"/>
    <w:lvlOverride w:ilvl="0">
      <w:lvl w:ilvl="0" w:tplc="78083696">
        <w:start w:val="1"/>
        <w:numFmt w:val="lowerLetter"/>
        <w:lvlText w:val="%1)"/>
        <w:lvlJc w:val="left"/>
        <w:pPr>
          <w:ind w:left="984" w:hanging="360"/>
        </w:pPr>
        <w:rPr>
          <w:rFonts w:hint="default"/>
        </w:rPr>
      </w:lvl>
    </w:lvlOverride>
  </w:num>
  <w:num w:numId="16">
    <w:abstractNumId w:val="8"/>
  </w:num>
  <w:num w:numId="17">
    <w:abstractNumId w:val="2"/>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6" w:nlCheck="1" w:checkStyle="1"/>
  <w:activeWritingStyle w:appName="MSWord" w:lang="en-GB"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2E8"/>
    <w:rsid w:val="00000E4A"/>
    <w:rsid w:val="000024A3"/>
    <w:rsid w:val="00003786"/>
    <w:rsid w:val="00004299"/>
    <w:rsid w:val="00004DE5"/>
    <w:rsid w:val="000057BB"/>
    <w:rsid w:val="000077AD"/>
    <w:rsid w:val="000111F1"/>
    <w:rsid w:val="0001120B"/>
    <w:rsid w:val="00011A16"/>
    <w:rsid w:val="00014361"/>
    <w:rsid w:val="000149E6"/>
    <w:rsid w:val="00016424"/>
    <w:rsid w:val="000213E7"/>
    <w:rsid w:val="0002372D"/>
    <w:rsid w:val="00023DA9"/>
    <w:rsid w:val="000247B0"/>
    <w:rsid w:val="00026997"/>
    <w:rsid w:val="00026A08"/>
    <w:rsid w:val="00026D19"/>
    <w:rsid w:val="00027A66"/>
    <w:rsid w:val="00027B01"/>
    <w:rsid w:val="00032E4E"/>
    <w:rsid w:val="00033E0B"/>
    <w:rsid w:val="0003500D"/>
    <w:rsid w:val="00035EDE"/>
    <w:rsid w:val="00041EB8"/>
    <w:rsid w:val="00045C5B"/>
    <w:rsid w:val="000475E2"/>
    <w:rsid w:val="00047E04"/>
    <w:rsid w:val="000509B4"/>
    <w:rsid w:val="00050B0A"/>
    <w:rsid w:val="000510D6"/>
    <w:rsid w:val="00053FF1"/>
    <w:rsid w:val="000543A8"/>
    <w:rsid w:val="00054828"/>
    <w:rsid w:val="000548F9"/>
    <w:rsid w:val="00054C83"/>
    <w:rsid w:val="00056108"/>
    <w:rsid w:val="0005743F"/>
    <w:rsid w:val="0006035B"/>
    <w:rsid w:val="0006096F"/>
    <w:rsid w:val="000632BF"/>
    <w:rsid w:val="0006490E"/>
    <w:rsid w:val="000649C5"/>
    <w:rsid w:val="00067A62"/>
    <w:rsid w:val="00067DDB"/>
    <w:rsid w:val="00071886"/>
    <w:rsid w:val="00071C12"/>
    <w:rsid w:val="000742BC"/>
    <w:rsid w:val="00076758"/>
    <w:rsid w:val="00076CC6"/>
    <w:rsid w:val="00077333"/>
    <w:rsid w:val="00077945"/>
    <w:rsid w:val="00080762"/>
    <w:rsid w:val="00082725"/>
    <w:rsid w:val="00082A0C"/>
    <w:rsid w:val="000832D7"/>
    <w:rsid w:val="00083504"/>
    <w:rsid w:val="00084F10"/>
    <w:rsid w:val="000856DC"/>
    <w:rsid w:val="000860C3"/>
    <w:rsid w:val="00087287"/>
    <w:rsid w:val="00090C01"/>
    <w:rsid w:val="00092C24"/>
    <w:rsid w:val="0009422D"/>
    <w:rsid w:val="0009640C"/>
    <w:rsid w:val="00097305"/>
    <w:rsid w:val="00097428"/>
    <w:rsid w:val="0009789E"/>
    <w:rsid w:val="000A1B30"/>
    <w:rsid w:val="000A2C42"/>
    <w:rsid w:val="000A4226"/>
    <w:rsid w:val="000A6D5B"/>
    <w:rsid w:val="000A6D92"/>
    <w:rsid w:val="000A751B"/>
    <w:rsid w:val="000A7DD5"/>
    <w:rsid w:val="000B180C"/>
    <w:rsid w:val="000B1B03"/>
    <w:rsid w:val="000B22A2"/>
    <w:rsid w:val="000B24AD"/>
    <w:rsid w:val="000B3CCC"/>
    <w:rsid w:val="000B502C"/>
    <w:rsid w:val="000B541B"/>
    <w:rsid w:val="000B5596"/>
    <w:rsid w:val="000B64AD"/>
    <w:rsid w:val="000B73F9"/>
    <w:rsid w:val="000B76D4"/>
    <w:rsid w:val="000C2A52"/>
    <w:rsid w:val="000C2A88"/>
    <w:rsid w:val="000C4F45"/>
    <w:rsid w:val="000C50D9"/>
    <w:rsid w:val="000C5921"/>
    <w:rsid w:val="000C5F5C"/>
    <w:rsid w:val="000C690C"/>
    <w:rsid w:val="000D07BE"/>
    <w:rsid w:val="000D1282"/>
    <w:rsid w:val="000D3391"/>
    <w:rsid w:val="000D33C0"/>
    <w:rsid w:val="000D49CE"/>
    <w:rsid w:val="000D4CF6"/>
    <w:rsid w:val="000D54A5"/>
    <w:rsid w:val="000D6941"/>
    <w:rsid w:val="000E1305"/>
    <w:rsid w:val="000E215D"/>
    <w:rsid w:val="000E4923"/>
    <w:rsid w:val="000E74B4"/>
    <w:rsid w:val="000F08DC"/>
    <w:rsid w:val="000F2A9B"/>
    <w:rsid w:val="000F3CE2"/>
    <w:rsid w:val="000F4829"/>
    <w:rsid w:val="000F6B21"/>
    <w:rsid w:val="000F7AB2"/>
    <w:rsid w:val="001000BC"/>
    <w:rsid w:val="001004E7"/>
    <w:rsid w:val="001004F8"/>
    <w:rsid w:val="00100962"/>
    <w:rsid w:val="00100B67"/>
    <w:rsid w:val="00100D97"/>
    <w:rsid w:val="001018D1"/>
    <w:rsid w:val="00101D64"/>
    <w:rsid w:val="001020A3"/>
    <w:rsid w:val="00102B48"/>
    <w:rsid w:val="00102E5A"/>
    <w:rsid w:val="00102EFB"/>
    <w:rsid w:val="001046F5"/>
    <w:rsid w:val="00104A4B"/>
    <w:rsid w:val="00111824"/>
    <w:rsid w:val="00111855"/>
    <w:rsid w:val="00111CD9"/>
    <w:rsid w:val="00112CBE"/>
    <w:rsid w:val="00113170"/>
    <w:rsid w:val="001138CF"/>
    <w:rsid w:val="00113D26"/>
    <w:rsid w:val="0011452D"/>
    <w:rsid w:val="00114669"/>
    <w:rsid w:val="001170B8"/>
    <w:rsid w:val="001202E3"/>
    <w:rsid w:val="0012067A"/>
    <w:rsid w:val="00120E0C"/>
    <w:rsid w:val="00121E44"/>
    <w:rsid w:val="00123699"/>
    <w:rsid w:val="00123A93"/>
    <w:rsid w:val="001241FB"/>
    <w:rsid w:val="001248F8"/>
    <w:rsid w:val="00124F1B"/>
    <w:rsid w:val="001265CC"/>
    <w:rsid w:val="00127873"/>
    <w:rsid w:val="0013059D"/>
    <w:rsid w:val="001309CD"/>
    <w:rsid w:val="0013314B"/>
    <w:rsid w:val="001345F2"/>
    <w:rsid w:val="00136187"/>
    <w:rsid w:val="00136A5F"/>
    <w:rsid w:val="001413F6"/>
    <w:rsid w:val="00141A55"/>
    <w:rsid w:val="0014293F"/>
    <w:rsid w:val="0014397D"/>
    <w:rsid w:val="00144683"/>
    <w:rsid w:val="001446A3"/>
    <w:rsid w:val="001446B7"/>
    <w:rsid w:val="00146792"/>
    <w:rsid w:val="001472C1"/>
    <w:rsid w:val="00152B6B"/>
    <w:rsid w:val="00152C29"/>
    <w:rsid w:val="00154BAE"/>
    <w:rsid w:val="00155395"/>
    <w:rsid w:val="00155A2F"/>
    <w:rsid w:val="00156B6B"/>
    <w:rsid w:val="00156B8A"/>
    <w:rsid w:val="00157E17"/>
    <w:rsid w:val="00160397"/>
    <w:rsid w:val="00160D74"/>
    <w:rsid w:val="00160E34"/>
    <w:rsid w:val="00162426"/>
    <w:rsid w:val="001646EA"/>
    <w:rsid w:val="001653E7"/>
    <w:rsid w:val="00167D02"/>
    <w:rsid w:val="00170792"/>
    <w:rsid w:val="0017355C"/>
    <w:rsid w:val="00174D64"/>
    <w:rsid w:val="001759D8"/>
    <w:rsid w:val="00177D7F"/>
    <w:rsid w:val="00180C3F"/>
    <w:rsid w:val="00181EC8"/>
    <w:rsid w:val="00184349"/>
    <w:rsid w:val="001863B5"/>
    <w:rsid w:val="00186790"/>
    <w:rsid w:val="00186A59"/>
    <w:rsid w:val="00187284"/>
    <w:rsid w:val="0019194B"/>
    <w:rsid w:val="00191FB2"/>
    <w:rsid w:val="0019203B"/>
    <w:rsid w:val="001921DA"/>
    <w:rsid w:val="0019398A"/>
    <w:rsid w:val="00193F1E"/>
    <w:rsid w:val="001947CE"/>
    <w:rsid w:val="00195AEC"/>
    <w:rsid w:val="00195F33"/>
    <w:rsid w:val="001A1DE5"/>
    <w:rsid w:val="001A2FF9"/>
    <w:rsid w:val="001A3452"/>
    <w:rsid w:val="001A3953"/>
    <w:rsid w:val="001A3A66"/>
    <w:rsid w:val="001A3A91"/>
    <w:rsid w:val="001A47E5"/>
    <w:rsid w:val="001A5176"/>
    <w:rsid w:val="001A5AD1"/>
    <w:rsid w:val="001B02D6"/>
    <w:rsid w:val="001B0D65"/>
    <w:rsid w:val="001B1617"/>
    <w:rsid w:val="001B3944"/>
    <w:rsid w:val="001B394B"/>
    <w:rsid w:val="001B504B"/>
    <w:rsid w:val="001B5537"/>
    <w:rsid w:val="001B5627"/>
    <w:rsid w:val="001B6ED7"/>
    <w:rsid w:val="001B6F98"/>
    <w:rsid w:val="001C191A"/>
    <w:rsid w:val="001C653C"/>
    <w:rsid w:val="001C7C06"/>
    <w:rsid w:val="001D078E"/>
    <w:rsid w:val="001D1DCC"/>
    <w:rsid w:val="001D2060"/>
    <w:rsid w:val="001D25CC"/>
    <w:rsid w:val="001D26C1"/>
    <w:rsid w:val="001D3874"/>
    <w:rsid w:val="001D3B18"/>
    <w:rsid w:val="001D3B61"/>
    <w:rsid w:val="001D4900"/>
    <w:rsid w:val="001D516A"/>
    <w:rsid w:val="001D6CC2"/>
    <w:rsid w:val="001D7CD0"/>
    <w:rsid w:val="001D7E75"/>
    <w:rsid w:val="001E0D73"/>
    <w:rsid w:val="001E1196"/>
    <w:rsid w:val="001E239B"/>
    <w:rsid w:val="001E45BD"/>
    <w:rsid w:val="001E56D2"/>
    <w:rsid w:val="001E7D56"/>
    <w:rsid w:val="001F1C70"/>
    <w:rsid w:val="001F5186"/>
    <w:rsid w:val="001F6928"/>
    <w:rsid w:val="001F6AD9"/>
    <w:rsid w:val="001F6BE3"/>
    <w:rsid w:val="001F6EA2"/>
    <w:rsid w:val="001F73E9"/>
    <w:rsid w:val="001F75DE"/>
    <w:rsid w:val="002007CF"/>
    <w:rsid w:val="00200D58"/>
    <w:rsid w:val="002011AF"/>
    <w:rsid w:val="002011C1"/>
    <w:rsid w:val="002013BE"/>
    <w:rsid w:val="00201CFE"/>
    <w:rsid w:val="00201EDC"/>
    <w:rsid w:val="0020364F"/>
    <w:rsid w:val="00205869"/>
    <w:rsid w:val="002063A4"/>
    <w:rsid w:val="00207F30"/>
    <w:rsid w:val="00210312"/>
    <w:rsid w:val="0021145B"/>
    <w:rsid w:val="00211FF1"/>
    <w:rsid w:val="00214053"/>
    <w:rsid w:val="002148FB"/>
    <w:rsid w:val="00215BF6"/>
    <w:rsid w:val="00220C23"/>
    <w:rsid w:val="00221233"/>
    <w:rsid w:val="00221DEE"/>
    <w:rsid w:val="00223DB3"/>
    <w:rsid w:val="002247F6"/>
    <w:rsid w:val="00225E21"/>
    <w:rsid w:val="00225E44"/>
    <w:rsid w:val="0022739A"/>
    <w:rsid w:val="002279EC"/>
    <w:rsid w:val="0023050B"/>
    <w:rsid w:val="002326B2"/>
    <w:rsid w:val="002349CA"/>
    <w:rsid w:val="00234E78"/>
    <w:rsid w:val="00236401"/>
    <w:rsid w:val="00236D9B"/>
    <w:rsid w:val="00241339"/>
    <w:rsid w:val="00243D36"/>
    <w:rsid w:val="002441ED"/>
    <w:rsid w:val="00245877"/>
    <w:rsid w:val="00246151"/>
    <w:rsid w:val="0024719B"/>
    <w:rsid w:val="00247707"/>
    <w:rsid w:val="00252456"/>
    <w:rsid w:val="00252717"/>
    <w:rsid w:val="00255A12"/>
    <w:rsid w:val="0025789B"/>
    <w:rsid w:val="0026018E"/>
    <w:rsid w:val="002606D7"/>
    <w:rsid w:val="00262301"/>
    <w:rsid w:val="002643D7"/>
    <w:rsid w:val="00264C66"/>
    <w:rsid w:val="00264E2F"/>
    <w:rsid w:val="0026615A"/>
    <w:rsid w:val="00270A6E"/>
    <w:rsid w:val="00271861"/>
    <w:rsid w:val="00272F6D"/>
    <w:rsid w:val="002744C2"/>
    <w:rsid w:val="0027479D"/>
    <w:rsid w:val="002752CA"/>
    <w:rsid w:val="00275DD0"/>
    <w:rsid w:val="00275E07"/>
    <w:rsid w:val="00276554"/>
    <w:rsid w:val="0028286F"/>
    <w:rsid w:val="00282D2D"/>
    <w:rsid w:val="0028495B"/>
    <w:rsid w:val="00285B55"/>
    <w:rsid w:val="00286740"/>
    <w:rsid w:val="00286BF5"/>
    <w:rsid w:val="00286F10"/>
    <w:rsid w:val="00287905"/>
    <w:rsid w:val="00287F3E"/>
    <w:rsid w:val="00290418"/>
    <w:rsid w:val="00291EAE"/>
    <w:rsid w:val="002927A1"/>
    <w:rsid w:val="002929D8"/>
    <w:rsid w:val="00294ACF"/>
    <w:rsid w:val="00297AEE"/>
    <w:rsid w:val="002A237D"/>
    <w:rsid w:val="002A268D"/>
    <w:rsid w:val="002A4C53"/>
    <w:rsid w:val="002A5EAD"/>
    <w:rsid w:val="002A6C21"/>
    <w:rsid w:val="002B010E"/>
    <w:rsid w:val="002B0672"/>
    <w:rsid w:val="002B247F"/>
    <w:rsid w:val="002B50D4"/>
    <w:rsid w:val="002B58BF"/>
    <w:rsid w:val="002B6D5E"/>
    <w:rsid w:val="002B7A20"/>
    <w:rsid w:val="002C0BB1"/>
    <w:rsid w:val="002C145D"/>
    <w:rsid w:val="002C2C3E"/>
    <w:rsid w:val="002C2C8B"/>
    <w:rsid w:val="002C533E"/>
    <w:rsid w:val="002C5E9C"/>
    <w:rsid w:val="002D027F"/>
    <w:rsid w:val="002D04FB"/>
    <w:rsid w:val="002D3E15"/>
    <w:rsid w:val="002D56AE"/>
    <w:rsid w:val="002D7A85"/>
    <w:rsid w:val="002D7B60"/>
    <w:rsid w:val="002E05D2"/>
    <w:rsid w:val="002E3FD9"/>
    <w:rsid w:val="002E42B1"/>
    <w:rsid w:val="002E59EF"/>
    <w:rsid w:val="002F29FB"/>
    <w:rsid w:val="002F29FC"/>
    <w:rsid w:val="002F2B44"/>
    <w:rsid w:val="002F2E0D"/>
    <w:rsid w:val="002F2E7B"/>
    <w:rsid w:val="002F4297"/>
    <w:rsid w:val="002F4761"/>
    <w:rsid w:val="002F5391"/>
    <w:rsid w:val="002F5C79"/>
    <w:rsid w:val="002F6236"/>
    <w:rsid w:val="002F6441"/>
    <w:rsid w:val="002F68EE"/>
    <w:rsid w:val="003019E2"/>
    <w:rsid w:val="00302853"/>
    <w:rsid w:val="003037C3"/>
    <w:rsid w:val="00303850"/>
    <w:rsid w:val="0030456A"/>
    <w:rsid w:val="003051A1"/>
    <w:rsid w:val="003069DA"/>
    <w:rsid w:val="00306CEE"/>
    <w:rsid w:val="003071D7"/>
    <w:rsid w:val="00310BEB"/>
    <w:rsid w:val="00311CAC"/>
    <w:rsid w:val="0031413F"/>
    <w:rsid w:val="00314854"/>
    <w:rsid w:val="003148BB"/>
    <w:rsid w:val="00315652"/>
    <w:rsid w:val="00315A55"/>
    <w:rsid w:val="00317976"/>
    <w:rsid w:val="00320066"/>
    <w:rsid w:val="00320F2F"/>
    <w:rsid w:val="003210A6"/>
    <w:rsid w:val="00322756"/>
    <w:rsid w:val="003230A4"/>
    <w:rsid w:val="0032457E"/>
    <w:rsid w:val="00324943"/>
    <w:rsid w:val="00325D38"/>
    <w:rsid w:val="00326DDB"/>
    <w:rsid w:val="00331473"/>
    <w:rsid w:val="00336482"/>
    <w:rsid w:val="003371D9"/>
    <w:rsid w:val="00337AFC"/>
    <w:rsid w:val="0034200A"/>
    <w:rsid w:val="00344718"/>
    <w:rsid w:val="00345029"/>
    <w:rsid w:val="0034570C"/>
    <w:rsid w:val="00345D7F"/>
    <w:rsid w:val="00345E23"/>
    <w:rsid w:val="003476D8"/>
    <w:rsid w:val="003477A7"/>
    <w:rsid w:val="003522CE"/>
    <w:rsid w:val="003523F1"/>
    <w:rsid w:val="00352668"/>
    <w:rsid w:val="0035277E"/>
    <w:rsid w:val="00353228"/>
    <w:rsid w:val="00355C91"/>
    <w:rsid w:val="00355EA9"/>
    <w:rsid w:val="0035729C"/>
    <w:rsid w:val="003578DE"/>
    <w:rsid w:val="003610B8"/>
    <w:rsid w:val="003611BD"/>
    <w:rsid w:val="00361688"/>
    <w:rsid w:val="003621FA"/>
    <w:rsid w:val="00362318"/>
    <w:rsid w:val="003642E2"/>
    <w:rsid w:val="003655AC"/>
    <w:rsid w:val="00367391"/>
    <w:rsid w:val="00371B3A"/>
    <w:rsid w:val="00372928"/>
    <w:rsid w:val="00373325"/>
    <w:rsid w:val="003739C1"/>
    <w:rsid w:val="00373B62"/>
    <w:rsid w:val="00374846"/>
    <w:rsid w:val="00380921"/>
    <w:rsid w:val="0038168F"/>
    <w:rsid w:val="00381B12"/>
    <w:rsid w:val="00382DD5"/>
    <w:rsid w:val="003846E8"/>
    <w:rsid w:val="003858F9"/>
    <w:rsid w:val="003860E1"/>
    <w:rsid w:val="003869FF"/>
    <w:rsid w:val="0038702A"/>
    <w:rsid w:val="003877D5"/>
    <w:rsid w:val="003912D6"/>
    <w:rsid w:val="003929B8"/>
    <w:rsid w:val="00393432"/>
    <w:rsid w:val="003947D7"/>
    <w:rsid w:val="00394A5E"/>
    <w:rsid w:val="00396257"/>
    <w:rsid w:val="00397781"/>
    <w:rsid w:val="00397AAF"/>
    <w:rsid w:val="00397EB8"/>
    <w:rsid w:val="003A006F"/>
    <w:rsid w:val="003A0CAB"/>
    <w:rsid w:val="003A11B3"/>
    <w:rsid w:val="003A2652"/>
    <w:rsid w:val="003A36C0"/>
    <w:rsid w:val="003A3749"/>
    <w:rsid w:val="003A3D0F"/>
    <w:rsid w:val="003A431D"/>
    <w:rsid w:val="003A4FD0"/>
    <w:rsid w:val="003A6893"/>
    <w:rsid w:val="003A69D1"/>
    <w:rsid w:val="003A7705"/>
    <w:rsid w:val="003A77F1"/>
    <w:rsid w:val="003B1545"/>
    <w:rsid w:val="003B2CAC"/>
    <w:rsid w:val="003B2D02"/>
    <w:rsid w:val="003C09F2"/>
    <w:rsid w:val="003C2150"/>
    <w:rsid w:val="003C3219"/>
    <w:rsid w:val="003C409D"/>
    <w:rsid w:val="003C4544"/>
    <w:rsid w:val="003C5583"/>
    <w:rsid w:val="003C5BA6"/>
    <w:rsid w:val="003C5C2C"/>
    <w:rsid w:val="003C74CF"/>
    <w:rsid w:val="003D18B2"/>
    <w:rsid w:val="003D2643"/>
    <w:rsid w:val="003D3752"/>
    <w:rsid w:val="003D42CF"/>
    <w:rsid w:val="003D5434"/>
    <w:rsid w:val="003E0FFF"/>
    <w:rsid w:val="003E180A"/>
    <w:rsid w:val="003E1AFF"/>
    <w:rsid w:val="003E22AC"/>
    <w:rsid w:val="003E3257"/>
    <w:rsid w:val="003E35DA"/>
    <w:rsid w:val="003E455D"/>
    <w:rsid w:val="003E4DAD"/>
    <w:rsid w:val="003E4E1E"/>
    <w:rsid w:val="003E5EC3"/>
    <w:rsid w:val="003F0777"/>
    <w:rsid w:val="003F0843"/>
    <w:rsid w:val="003F0DEC"/>
    <w:rsid w:val="003F0E85"/>
    <w:rsid w:val="003F20F5"/>
    <w:rsid w:val="003F3608"/>
    <w:rsid w:val="003F4DA7"/>
    <w:rsid w:val="003F5091"/>
    <w:rsid w:val="003F51C7"/>
    <w:rsid w:val="00400B98"/>
    <w:rsid w:val="00401B49"/>
    <w:rsid w:val="004027EE"/>
    <w:rsid w:val="00402D7A"/>
    <w:rsid w:val="00410183"/>
    <w:rsid w:val="00410C55"/>
    <w:rsid w:val="00413570"/>
    <w:rsid w:val="00415171"/>
    <w:rsid w:val="00416854"/>
    <w:rsid w:val="00416DEA"/>
    <w:rsid w:val="004173C8"/>
    <w:rsid w:val="0041747D"/>
    <w:rsid w:val="00417725"/>
    <w:rsid w:val="00417FE2"/>
    <w:rsid w:val="00421405"/>
    <w:rsid w:val="0042266F"/>
    <w:rsid w:val="00422E50"/>
    <w:rsid w:val="004233DC"/>
    <w:rsid w:val="00424AA1"/>
    <w:rsid w:val="00425C72"/>
    <w:rsid w:val="00425F8B"/>
    <w:rsid w:val="004260B1"/>
    <w:rsid w:val="00426C5A"/>
    <w:rsid w:val="00430363"/>
    <w:rsid w:val="0043165A"/>
    <w:rsid w:val="00432222"/>
    <w:rsid w:val="00432AA6"/>
    <w:rsid w:val="0043334D"/>
    <w:rsid w:val="004334A6"/>
    <w:rsid w:val="00434321"/>
    <w:rsid w:val="0043569D"/>
    <w:rsid w:val="0043686D"/>
    <w:rsid w:val="00437F26"/>
    <w:rsid w:val="00441241"/>
    <w:rsid w:val="00444097"/>
    <w:rsid w:val="00444208"/>
    <w:rsid w:val="004447B6"/>
    <w:rsid w:val="004449C1"/>
    <w:rsid w:val="00445487"/>
    <w:rsid w:val="00445C01"/>
    <w:rsid w:val="004478CD"/>
    <w:rsid w:val="00447E0D"/>
    <w:rsid w:val="004505A1"/>
    <w:rsid w:val="0045134A"/>
    <w:rsid w:val="00451B9F"/>
    <w:rsid w:val="00453EA8"/>
    <w:rsid w:val="00454769"/>
    <w:rsid w:val="00454804"/>
    <w:rsid w:val="00456C71"/>
    <w:rsid w:val="00460D57"/>
    <w:rsid w:val="00465501"/>
    <w:rsid w:val="00466991"/>
    <w:rsid w:val="0047064C"/>
    <w:rsid w:val="004749E4"/>
    <w:rsid w:val="00476ADD"/>
    <w:rsid w:val="00481546"/>
    <w:rsid w:val="004822B7"/>
    <w:rsid w:val="0048379A"/>
    <w:rsid w:val="004872A6"/>
    <w:rsid w:val="00487566"/>
    <w:rsid w:val="0049469E"/>
    <w:rsid w:val="00495181"/>
    <w:rsid w:val="00496156"/>
    <w:rsid w:val="00496C8B"/>
    <w:rsid w:val="00496D70"/>
    <w:rsid w:val="00496F1C"/>
    <w:rsid w:val="00497592"/>
    <w:rsid w:val="004A2217"/>
    <w:rsid w:val="004A24F9"/>
    <w:rsid w:val="004A2D55"/>
    <w:rsid w:val="004A42AF"/>
    <w:rsid w:val="004A42E1"/>
    <w:rsid w:val="004A4DA1"/>
    <w:rsid w:val="004A5FAA"/>
    <w:rsid w:val="004A7615"/>
    <w:rsid w:val="004A766B"/>
    <w:rsid w:val="004A7DFE"/>
    <w:rsid w:val="004A7F48"/>
    <w:rsid w:val="004B162C"/>
    <w:rsid w:val="004B2439"/>
    <w:rsid w:val="004B2ABE"/>
    <w:rsid w:val="004B48BE"/>
    <w:rsid w:val="004B4D52"/>
    <w:rsid w:val="004B74A1"/>
    <w:rsid w:val="004B7A6C"/>
    <w:rsid w:val="004C0057"/>
    <w:rsid w:val="004C11A3"/>
    <w:rsid w:val="004C196B"/>
    <w:rsid w:val="004C1C14"/>
    <w:rsid w:val="004C3DBE"/>
    <w:rsid w:val="004C4AE8"/>
    <w:rsid w:val="004C4B8D"/>
    <w:rsid w:val="004C535B"/>
    <w:rsid w:val="004C5C96"/>
    <w:rsid w:val="004D06A4"/>
    <w:rsid w:val="004D3A31"/>
    <w:rsid w:val="004D3CF8"/>
    <w:rsid w:val="004D5441"/>
    <w:rsid w:val="004D5DCA"/>
    <w:rsid w:val="004D60D7"/>
    <w:rsid w:val="004E0AB7"/>
    <w:rsid w:val="004E27E0"/>
    <w:rsid w:val="004E5024"/>
    <w:rsid w:val="004E58BA"/>
    <w:rsid w:val="004E7335"/>
    <w:rsid w:val="004E75E0"/>
    <w:rsid w:val="004F1484"/>
    <w:rsid w:val="004F1A81"/>
    <w:rsid w:val="004F3EFB"/>
    <w:rsid w:val="004F4970"/>
    <w:rsid w:val="004F5D88"/>
    <w:rsid w:val="005007C0"/>
    <w:rsid w:val="00501354"/>
    <w:rsid w:val="005016B6"/>
    <w:rsid w:val="00501D26"/>
    <w:rsid w:val="00504FD4"/>
    <w:rsid w:val="005050D2"/>
    <w:rsid w:val="00511EA8"/>
    <w:rsid w:val="005123A0"/>
    <w:rsid w:val="00512ECA"/>
    <w:rsid w:val="00513A0C"/>
    <w:rsid w:val="0051708C"/>
    <w:rsid w:val="00517D3A"/>
    <w:rsid w:val="005205A2"/>
    <w:rsid w:val="005218D9"/>
    <w:rsid w:val="00522167"/>
    <w:rsid w:val="00524D33"/>
    <w:rsid w:val="00525513"/>
    <w:rsid w:val="00526319"/>
    <w:rsid w:val="0052654D"/>
    <w:rsid w:val="00526C82"/>
    <w:rsid w:val="0052730B"/>
    <w:rsid w:val="005273AE"/>
    <w:rsid w:val="00530A2C"/>
    <w:rsid w:val="0053138D"/>
    <w:rsid w:val="00531BE0"/>
    <w:rsid w:val="005334AC"/>
    <w:rsid w:val="00534B53"/>
    <w:rsid w:val="00536186"/>
    <w:rsid w:val="00536E61"/>
    <w:rsid w:val="00537F88"/>
    <w:rsid w:val="005407B6"/>
    <w:rsid w:val="00544CBB"/>
    <w:rsid w:val="00546E2E"/>
    <w:rsid w:val="00550A9F"/>
    <w:rsid w:val="00551B65"/>
    <w:rsid w:val="00552E3B"/>
    <w:rsid w:val="0055392D"/>
    <w:rsid w:val="00554713"/>
    <w:rsid w:val="005564DB"/>
    <w:rsid w:val="00556704"/>
    <w:rsid w:val="00557891"/>
    <w:rsid w:val="00561038"/>
    <w:rsid w:val="00563292"/>
    <w:rsid w:val="005635BE"/>
    <w:rsid w:val="005656D7"/>
    <w:rsid w:val="00565CE7"/>
    <w:rsid w:val="005700FD"/>
    <w:rsid w:val="00571B87"/>
    <w:rsid w:val="005723B2"/>
    <w:rsid w:val="005726B0"/>
    <w:rsid w:val="0057315F"/>
    <w:rsid w:val="00573806"/>
    <w:rsid w:val="00576104"/>
    <w:rsid w:val="005767A5"/>
    <w:rsid w:val="00577F83"/>
    <w:rsid w:val="005823B5"/>
    <w:rsid w:val="005841FC"/>
    <w:rsid w:val="00586418"/>
    <w:rsid w:val="005929C8"/>
    <w:rsid w:val="00592B21"/>
    <w:rsid w:val="00593714"/>
    <w:rsid w:val="00593CF4"/>
    <w:rsid w:val="00596957"/>
    <w:rsid w:val="00597295"/>
    <w:rsid w:val="00597D8D"/>
    <w:rsid w:val="005A0C9A"/>
    <w:rsid w:val="005A18BD"/>
    <w:rsid w:val="005A1A70"/>
    <w:rsid w:val="005A3F3E"/>
    <w:rsid w:val="005A5A62"/>
    <w:rsid w:val="005A636F"/>
    <w:rsid w:val="005B0FE2"/>
    <w:rsid w:val="005B2DF4"/>
    <w:rsid w:val="005B2E8A"/>
    <w:rsid w:val="005B3107"/>
    <w:rsid w:val="005B364D"/>
    <w:rsid w:val="005B427A"/>
    <w:rsid w:val="005B44BF"/>
    <w:rsid w:val="005B514F"/>
    <w:rsid w:val="005B5CF4"/>
    <w:rsid w:val="005B6D86"/>
    <w:rsid w:val="005B6D98"/>
    <w:rsid w:val="005C0019"/>
    <w:rsid w:val="005C0132"/>
    <w:rsid w:val="005C0805"/>
    <w:rsid w:val="005C1D27"/>
    <w:rsid w:val="005C39AB"/>
    <w:rsid w:val="005C50C4"/>
    <w:rsid w:val="005C5B32"/>
    <w:rsid w:val="005C67C8"/>
    <w:rsid w:val="005C73EE"/>
    <w:rsid w:val="005D0249"/>
    <w:rsid w:val="005D03D4"/>
    <w:rsid w:val="005D18FA"/>
    <w:rsid w:val="005D1FCC"/>
    <w:rsid w:val="005D2566"/>
    <w:rsid w:val="005D2C10"/>
    <w:rsid w:val="005D4FD4"/>
    <w:rsid w:val="005D6B12"/>
    <w:rsid w:val="005D6E8C"/>
    <w:rsid w:val="005E0266"/>
    <w:rsid w:val="005E3004"/>
    <w:rsid w:val="005E3A42"/>
    <w:rsid w:val="005E4921"/>
    <w:rsid w:val="005E68BB"/>
    <w:rsid w:val="005E75A4"/>
    <w:rsid w:val="005F100C"/>
    <w:rsid w:val="005F16F6"/>
    <w:rsid w:val="005F1DE6"/>
    <w:rsid w:val="005F3A15"/>
    <w:rsid w:val="005F3A80"/>
    <w:rsid w:val="005F4391"/>
    <w:rsid w:val="005F58FE"/>
    <w:rsid w:val="005F68DA"/>
    <w:rsid w:val="005F7419"/>
    <w:rsid w:val="006006B1"/>
    <w:rsid w:val="00601BC9"/>
    <w:rsid w:val="006023F9"/>
    <w:rsid w:val="006038C8"/>
    <w:rsid w:val="006040B4"/>
    <w:rsid w:val="0060754C"/>
    <w:rsid w:val="0060773B"/>
    <w:rsid w:val="006077FF"/>
    <w:rsid w:val="00612D58"/>
    <w:rsid w:val="00613FD6"/>
    <w:rsid w:val="00614B86"/>
    <w:rsid w:val="006157B5"/>
    <w:rsid w:val="00616FE0"/>
    <w:rsid w:val="00617154"/>
    <w:rsid w:val="00617224"/>
    <w:rsid w:val="00617FDE"/>
    <w:rsid w:val="006201E6"/>
    <w:rsid w:val="00620F0B"/>
    <w:rsid w:val="00623D70"/>
    <w:rsid w:val="00625E09"/>
    <w:rsid w:val="0062652A"/>
    <w:rsid w:val="00626DAA"/>
    <w:rsid w:val="00626FC6"/>
    <w:rsid w:val="0062767B"/>
    <w:rsid w:val="00627C93"/>
    <w:rsid w:val="006303B4"/>
    <w:rsid w:val="00630ADC"/>
    <w:rsid w:val="00631729"/>
    <w:rsid w:val="00631ACD"/>
    <w:rsid w:val="00633D3D"/>
    <w:rsid w:val="00636791"/>
    <w:rsid w:val="006416AD"/>
    <w:rsid w:val="00641703"/>
    <w:rsid w:val="00641BF9"/>
    <w:rsid w:val="006431A6"/>
    <w:rsid w:val="006433BE"/>
    <w:rsid w:val="00643E3A"/>
    <w:rsid w:val="00644ECE"/>
    <w:rsid w:val="006459F6"/>
    <w:rsid w:val="00645D5A"/>
    <w:rsid w:val="00647AD9"/>
    <w:rsid w:val="006501AD"/>
    <w:rsid w:val="00650FD1"/>
    <w:rsid w:val="00651BFA"/>
    <w:rsid w:val="00652D1E"/>
    <w:rsid w:val="00653699"/>
    <w:rsid w:val="00654475"/>
    <w:rsid w:val="00656577"/>
    <w:rsid w:val="00656DF0"/>
    <w:rsid w:val="00657E56"/>
    <w:rsid w:val="00660CBD"/>
    <w:rsid w:val="00663F9C"/>
    <w:rsid w:val="00665502"/>
    <w:rsid w:val="0066596F"/>
    <w:rsid w:val="00665A4B"/>
    <w:rsid w:val="00670C29"/>
    <w:rsid w:val="00670FAE"/>
    <w:rsid w:val="00672F57"/>
    <w:rsid w:val="00676D2F"/>
    <w:rsid w:val="00677D4B"/>
    <w:rsid w:val="00677DBF"/>
    <w:rsid w:val="00681A4E"/>
    <w:rsid w:val="0068277C"/>
    <w:rsid w:val="00682F43"/>
    <w:rsid w:val="00683434"/>
    <w:rsid w:val="00686B05"/>
    <w:rsid w:val="00687D9F"/>
    <w:rsid w:val="00692A11"/>
    <w:rsid w:val="00692E2A"/>
    <w:rsid w:val="00693481"/>
    <w:rsid w:val="0069496A"/>
    <w:rsid w:val="006953FA"/>
    <w:rsid w:val="0069549A"/>
    <w:rsid w:val="00696C1C"/>
    <w:rsid w:val="006A41DE"/>
    <w:rsid w:val="006A43F7"/>
    <w:rsid w:val="006A4B88"/>
    <w:rsid w:val="006A7696"/>
    <w:rsid w:val="006A76F2"/>
    <w:rsid w:val="006B050B"/>
    <w:rsid w:val="006B1AD4"/>
    <w:rsid w:val="006B3037"/>
    <w:rsid w:val="006B428C"/>
    <w:rsid w:val="006B43CC"/>
    <w:rsid w:val="006B4E6B"/>
    <w:rsid w:val="006B622E"/>
    <w:rsid w:val="006B7260"/>
    <w:rsid w:val="006B7D29"/>
    <w:rsid w:val="006C05B7"/>
    <w:rsid w:val="006C1088"/>
    <w:rsid w:val="006C4A66"/>
    <w:rsid w:val="006C5082"/>
    <w:rsid w:val="006C5104"/>
    <w:rsid w:val="006C5D2F"/>
    <w:rsid w:val="006D017C"/>
    <w:rsid w:val="006D0AF5"/>
    <w:rsid w:val="006D106E"/>
    <w:rsid w:val="006D145A"/>
    <w:rsid w:val="006D169F"/>
    <w:rsid w:val="006D19D4"/>
    <w:rsid w:val="006D2DAF"/>
    <w:rsid w:val="006D3C8F"/>
    <w:rsid w:val="006D4ADB"/>
    <w:rsid w:val="006D5034"/>
    <w:rsid w:val="006D5644"/>
    <w:rsid w:val="006D5BCA"/>
    <w:rsid w:val="006D6007"/>
    <w:rsid w:val="006D667A"/>
    <w:rsid w:val="006D7923"/>
    <w:rsid w:val="006D7C69"/>
    <w:rsid w:val="006D7EFB"/>
    <w:rsid w:val="006E0C39"/>
    <w:rsid w:val="006E2D35"/>
    <w:rsid w:val="006E4315"/>
    <w:rsid w:val="006E4FAF"/>
    <w:rsid w:val="006E58D7"/>
    <w:rsid w:val="006E638B"/>
    <w:rsid w:val="006E6672"/>
    <w:rsid w:val="006E6722"/>
    <w:rsid w:val="006E697A"/>
    <w:rsid w:val="006E7101"/>
    <w:rsid w:val="006F039C"/>
    <w:rsid w:val="006F6D42"/>
    <w:rsid w:val="006F71B8"/>
    <w:rsid w:val="006F7436"/>
    <w:rsid w:val="006F7AFF"/>
    <w:rsid w:val="007025B5"/>
    <w:rsid w:val="007027B9"/>
    <w:rsid w:val="007047D5"/>
    <w:rsid w:val="0070519B"/>
    <w:rsid w:val="007055F4"/>
    <w:rsid w:val="00705951"/>
    <w:rsid w:val="007066B5"/>
    <w:rsid w:val="00706D66"/>
    <w:rsid w:val="00706E76"/>
    <w:rsid w:val="00711DD6"/>
    <w:rsid w:val="007145A7"/>
    <w:rsid w:val="007145DA"/>
    <w:rsid w:val="00715BC2"/>
    <w:rsid w:val="00715E88"/>
    <w:rsid w:val="007169E2"/>
    <w:rsid w:val="00716D8B"/>
    <w:rsid w:val="0071701A"/>
    <w:rsid w:val="0072039D"/>
    <w:rsid w:val="00723437"/>
    <w:rsid w:val="00723B6C"/>
    <w:rsid w:val="00723EE5"/>
    <w:rsid w:val="007256E3"/>
    <w:rsid w:val="00726554"/>
    <w:rsid w:val="007265D5"/>
    <w:rsid w:val="00726DAA"/>
    <w:rsid w:val="00730218"/>
    <w:rsid w:val="00731576"/>
    <w:rsid w:val="00734CAA"/>
    <w:rsid w:val="0073584A"/>
    <w:rsid w:val="007363EE"/>
    <w:rsid w:val="00740EE2"/>
    <w:rsid w:val="00741C50"/>
    <w:rsid w:val="00742680"/>
    <w:rsid w:val="007435A7"/>
    <w:rsid w:val="007445C6"/>
    <w:rsid w:val="0074579B"/>
    <w:rsid w:val="00746943"/>
    <w:rsid w:val="00747B72"/>
    <w:rsid w:val="007534EC"/>
    <w:rsid w:val="00753D17"/>
    <w:rsid w:val="0075533C"/>
    <w:rsid w:val="00755A18"/>
    <w:rsid w:val="0075660C"/>
    <w:rsid w:val="00757581"/>
    <w:rsid w:val="007602F5"/>
    <w:rsid w:val="00760D36"/>
    <w:rsid w:val="007611A0"/>
    <w:rsid w:val="0076128F"/>
    <w:rsid w:val="007661A1"/>
    <w:rsid w:val="00767BFE"/>
    <w:rsid w:val="00772574"/>
    <w:rsid w:val="007735B2"/>
    <w:rsid w:val="00773E54"/>
    <w:rsid w:val="00774B38"/>
    <w:rsid w:val="00776BEA"/>
    <w:rsid w:val="0077732E"/>
    <w:rsid w:val="0078183C"/>
    <w:rsid w:val="00781DFC"/>
    <w:rsid w:val="007847C5"/>
    <w:rsid w:val="00784FCB"/>
    <w:rsid w:val="007875B8"/>
    <w:rsid w:val="00787688"/>
    <w:rsid w:val="00787827"/>
    <w:rsid w:val="00787949"/>
    <w:rsid w:val="00790BF8"/>
    <w:rsid w:val="00790F4A"/>
    <w:rsid w:val="00790F74"/>
    <w:rsid w:val="00791ABC"/>
    <w:rsid w:val="007935E6"/>
    <w:rsid w:val="0079421B"/>
    <w:rsid w:val="00795468"/>
    <w:rsid w:val="007968AD"/>
    <w:rsid w:val="00796D3F"/>
    <w:rsid w:val="007A131C"/>
    <w:rsid w:val="007A1683"/>
    <w:rsid w:val="007A21BE"/>
    <w:rsid w:val="007A3B6F"/>
    <w:rsid w:val="007A5C12"/>
    <w:rsid w:val="007A7CB0"/>
    <w:rsid w:val="007B1846"/>
    <w:rsid w:val="007B1A70"/>
    <w:rsid w:val="007B1C2F"/>
    <w:rsid w:val="007B31FB"/>
    <w:rsid w:val="007B5A1D"/>
    <w:rsid w:val="007B68A3"/>
    <w:rsid w:val="007C2541"/>
    <w:rsid w:val="007C2DA0"/>
    <w:rsid w:val="007C3941"/>
    <w:rsid w:val="007C46DC"/>
    <w:rsid w:val="007C4730"/>
    <w:rsid w:val="007C64B8"/>
    <w:rsid w:val="007D149F"/>
    <w:rsid w:val="007D21EB"/>
    <w:rsid w:val="007D4E66"/>
    <w:rsid w:val="007D594C"/>
    <w:rsid w:val="007D615D"/>
    <w:rsid w:val="007D6524"/>
    <w:rsid w:val="007D66A8"/>
    <w:rsid w:val="007D6B7D"/>
    <w:rsid w:val="007E003F"/>
    <w:rsid w:val="007E2BCE"/>
    <w:rsid w:val="007E511B"/>
    <w:rsid w:val="007E78E9"/>
    <w:rsid w:val="007E7977"/>
    <w:rsid w:val="007E7A7B"/>
    <w:rsid w:val="007F0CF8"/>
    <w:rsid w:val="007F5E1B"/>
    <w:rsid w:val="007F62CB"/>
    <w:rsid w:val="007F67EF"/>
    <w:rsid w:val="00801181"/>
    <w:rsid w:val="00802517"/>
    <w:rsid w:val="00803212"/>
    <w:rsid w:val="008041D1"/>
    <w:rsid w:val="008045CF"/>
    <w:rsid w:val="00806FF1"/>
    <w:rsid w:val="00810704"/>
    <w:rsid w:val="008117DF"/>
    <w:rsid w:val="00812254"/>
    <w:rsid w:val="00812C53"/>
    <w:rsid w:val="008142EC"/>
    <w:rsid w:val="00815020"/>
    <w:rsid w:val="00815B20"/>
    <w:rsid w:val="00815E75"/>
    <w:rsid w:val="00815F2E"/>
    <w:rsid w:val="0081601C"/>
    <w:rsid w:val="008164F2"/>
    <w:rsid w:val="00821395"/>
    <w:rsid w:val="00823798"/>
    <w:rsid w:val="00825438"/>
    <w:rsid w:val="00830E26"/>
    <w:rsid w:val="00831BF3"/>
    <w:rsid w:val="0083200D"/>
    <w:rsid w:val="0083340D"/>
    <w:rsid w:val="00834368"/>
    <w:rsid w:val="0083441A"/>
    <w:rsid w:val="008349B1"/>
    <w:rsid w:val="00836340"/>
    <w:rsid w:val="0083636C"/>
    <w:rsid w:val="00836EBA"/>
    <w:rsid w:val="008425D8"/>
    <w:rsid w:val="00842625"/>
    <w:rsid w:val="00843576"/>
    <w:rsid w:val="00843B64"/>
    <w:rsid w:val="00845152"/>
    <w:rsid w:val="00845261"/>
    <w:rsid w:val="008469D8"/>
    <w:rsid w:val="008478FC"/>
    <w:rsid w:val="00851014"/>
    <w:rsid w:val="00851C51"/>
    <w:rsid w:val="0085378A"/>
    <w:rsid w:val="008538F7"/>
    <w:rsid w:val="00856BE7"/>
    <w:rsid w:val="00860CFA"/>
    <w:rsid w:val="0086474A"/>
    <w:rsid w:val="008648D1"/>
    <w:rsid w:val="00865EB1"/>
    <w:rsid w:val="00866ACA"/>
    <w:rsid w:val="00867BFF"/>
    <w:rsid w:val="00870215"/>
    <w:rsid w:val="008714CE"/>
    <w:rsid w:val="00871542"/>
    <w:rsid w:val="00871A7D"/>
    <w:rsid w:val="00871F2F"/>
    <w:rsid w:val="00872BF6"/>
    <w:rsid w:val="00874AC1"/>
    <w:rsid w:val="0087796B"/>
    <w:rsid w:val="00881775"/>
    <w:rsid w:val="0088262D"/>
    <w:rsid w:val="00882DF2"/>
    <w:rsid w:val="008834F4"/>
    <w:rsid w:val="0088480A"/>
    <w:rsid w:val="00885B5A"/>
    <w:rsid w:val="0088662D"/>
    <w:rsid w:val="0088695B"/>
    <w:rsid w:val="0088757A"/>
    <w:rsid w:val="00890358"/>
    <w:rsid w:val="00891EA5"/>
    <w:rsid w:val="00892910"/>
    <w:rsid w:val="00892DE1"/>
    <w:rsid w:val="00893D2A"/>
    <w:rsid w:val="0089431B"/>
    <w:rsid w:val="00895668"/>
    <w:rsid w:val="008957DD"/>
    <w:rsid w:val="008958B6"/>
    <w:rsid w:val="00897D98"/>
    <w:rsid w:val="008A05C2"/>
    <w:rsid w:val="008A104A"/>
    <w:rsid w:val="008A261B"/>
    <w:rsid w:val="008A2801"/>
    <w:rsid w:val="008A3F62"/>
    <w:rsid w:val="008A5F6A"/>
    <w:rsid w:val="008A6DF2"/>
    <w:rsid w:val="008A7807"/>
    <w:rsid w:val="008A794B"/>
    <w:rsid w:val="008B1DF7"/>
    <w:rsid w:val="008B264E"/>
    <w:rsid w:val="008B3EED"/>
    <w:rsid w:val="008B4CC9"/>
    <w:rsid w:val="008B56B5"/>
    <w:rsid w:val="008B5F3E"/>
    <w:rsid w:val="008B725B"/>
    <w:rsid w:val="008B7CC3"/>
    <w:rsid w:val="008C0B15"/>
    <w:rsid w:val="008C0CC8"/>
    <w:rsid w:val="008C1FBD"/>
    <w:rsid w:val="008C5A39"/>
    <w:rsid w:val="008C7243"/>
    <w:rsid w:val="008C7C57"/>
    <w:rsid w:val="008D01BD"/>
    <w:rsid w:val="008D0E97"/>
    <w:rsid w:val="008D1ED6"/>
    <w:rsid w:val="008D25B9"/>
    <w:rsid w:val="008D2CA9"/>
    <w:rsid w:val="008D2DAD"/>
    <w:rsid w:val="008D3539"/>
    <w:rsid w:val="008D75E4"/>
    <w:rsid w:val="008D78E4"/>
    <w:rsid w:val="008D7ADA"/>
    <w:rsid w:val="008D7C99"/>
    <w:rsid w:val="008E0FCB"/>
    <w:rsid w:val="008E4D33"/>
    <w:rsid w:val="008E5088"/>
    <w:rsid w:val="008E5A71"/>
    <w:rsid w:val="008E64BE"/>
    <w:rsid w:val="008E6917"/>
    <w:rsid w:val="008F17EB"/>
    <w:rsid w:val="008F25AA"/>
    <w:rsid w:val="008F3F93"/>
    <w:rsid w:val="008F4D12"/>
    <w:rsid w:val="008F5CA8"/>
    <w:rsid w:val="008F6DFE"/>
    <w:rsid w:val="008F77F9"/>
    <w:rsid w:val="00901194"/>
    <w:rsid w:val="0090529F"/>
    <w:rsid w:val="00905AD7"/>
    <w:rsid w:val="009075A4"/>
    <w:rsid w:val="009125AF"/>
    <w:rsid w:val="0092178C"/>
    <w:rsid w:val="00923BA3"/>
    <w:rsid w:val="009247AC"/>
    <w:rsid w:val="00924BCF"/>
    <w:rsid w:val="0092628E"/>
    <w:rsid w:val="00930B88"/>
    <w:rsid w:val="0093456E"/>
    <w:rsid w:val="00935376"/>
    <w:rsid w:val="00935817"/>
    <w:rsid w:val="009366E2"/>
    <w:rsid w:val="00936F3F"/>
    <w:rsid w:val="00940DCC"/>
    <w:rsid w:val="00941001"/>
    <w:rsid w:val="0094179A"/>
    <w:rsid w:val="00943DC4"/>
    <w:rsid w:val="0094459E"/>
    <w:rsid w:val="00944DBC"/>
    <w:rsid w:val="009451BB"/>
    <w:rsid w:val="00946F01"/>
    <w:rsid w:val="009473E1"/>
    <w:rsid w:val="00947C17"/>
    <w:rsid w:val="00947CFA"/>
    <w:rsid w:val="00950977"/>
    <w:rsid w:val="00951A7B"/>
    <w:rsid w:val="00951B3D"/>
    <w:rsid w:val="00955493"/>
    <w:rsid w:val="00955512"/>
    <w:rsid w:val="009564A6"/>
    <w:rsid w:val="00957120"/>
    <w:rsid w:val="00957EF8"/>
    <w:rsid w:val="00963095"/>
    <w:rsid w:val="009658C2"/>
    <w:rsid w:val="00965F28"/>
    <w:rsid w:val="00966A53"/>
    <w:rsid w:val="00966CA2"/>
    <w:rsid w:val="00966E25"/>
    <w:rsid w:val="0096705F"/>
    <w:rsid w:val="00967621"/>
    <w:rsid w:val="00967E6A"/>
    <w:rsid w:val="009711FB"/>
    <w:rsid w:val="00972425"/>
    <w:rsid w:val="00972C49"/>
    <w:rsid w:val="009754CC"/>
    <w:rsid w:val="00980260"/>
    <w:rsid w:val="00980586"/>
    <w:rsid w:val="0098077A"/>
    <w:rsid w:val="00980AB2"/>
    <w:rsid w:val="009852EF"/>
    <w:rsid w:val="00985351"/>
    <w:rsid w:val="00986AA8"/>
    <w:rsid w:val="00987271"/>
    <w:rsid w:val="0099003C"/>
    <w:rsid w:val="009907B9"/>
    <w:rsid w:val="00990918"/>
    <w:rsid w:val="00990DF9"/>
    <w:rsid w:val="00990E1B"/>
    <w:rsid w:val="00990F37"/>
    <w:rsid w:val="009916A2"/>
    <w:rsid w:val="009920C7"/>
    <w:rsid w:val="00994F60"/>
    <w:rsid w:val="00995DBC"/>
    <w:rsid w:val="00996BF1"/>
    <w:rsid w:val="00997B82"/>
    <w:rsid w:val="00997BCE"/>
    <w:rsid w:val="009A061D"/>
    <w:rsid w:val="009A12C3"/>
    <w:rsid w:val="009A3A83"/>
    <w:rsid w:val="009A5154"/>
    <w:rsid w:val="009B0048"/>
    <w:rsid w:val="009B32D1"/>
    <w:rsid w:val="009B44C9"/>
    <w:rsid w:val="009B4A0F"/>
    <w:rsid w:val="009B5782"/>
    <w:rsid w:val="009B71AB"/>
    <w:rsid w:val="009C11D2"/>
    <w:rsid w:val="009C2532"/>
    <w:rsid w:val="009C42C1"/>
    <w:rsid w:val="009C4E2D"/>
    <w:rsid w:val="009C52E8"/>
    <w:rsid w:val="009C55D7"/>
    <w:rsid w:val="009C638E"/>
    <w:rsid w:val="009C6C70"/>
    <w:rsid w:val="009C6C8E"/>
    <w:rsid w:val="009C6FE7"/>
    <w:rsid w:val="009C7804"/>
    <w:rsid w:val="009C7B0A"/>
    <w:rsid w:val="009D0B63"/>
    <w:rsid w:val="009D12F5"/>
    <w:rsid w:val="009D28CB"/>
    <w:rsid w:val="009D356D"/>
    <w:rsid w:val="009D4F21"/>
    <w:rsid w:val="009D563D"/>
    <w:rsid w:val="009D5CB8"/>
    <w:rsid w:val="009D5F04"/>
    <w:rsid w:val="009E0120"/>
    <w:rsid w:val="009E027F"/>
    <w:rsid w:val="009E307E"/>
    <w:rsid w:val="009E3F82"/>
    <w:rsid w:val="009E64B0"/>
    <w:rsid w:val="009E69D9"/>
    <w:rsid w:val="009E6D38"/>
    <w:rsid w:val="009E7307"/>
    <w:rsid w:val="009F23BC"/>
    <w:rsid w:val="009F2E94"/>
    <w:rsid w:val="009F596E"/>
    <w:rsid w:val="009F7B37"/>
    <w:rsid w:val="00A023C0"/>
    <w:rsid w:val="00A03722"/>
    <w:rsid w:val="00A043B1"/>
    <w:rsid w:val="00A055BE"/>
    <w:rsid w:val="00A07870"/>
    <w:rsid w:val="00A07C54"/>
    <w:rsid w:val="00A07F19"/>
    <w:rsid w:val="00A10ABB"/>
    <w:rsid w:val="00A1194B"/>
    <w:rsid w:val="00A1348D"/>
    <w:rsid w:val="00A13C99"/>
    <w:rsid w:val="00A15C38"/>
    <w:rsid w:val="00A16415"/>
    <w:rsid w:val="00A1649B"/>
    <w:rsid w:val="00A176CA"/>
    <w:rsid w:val="00A2178F"/>
    <w:rsid w:val="00A220F7"/>
    <w:rsid w:val="00A2289F"/>
    <w:rsid w:val="00A232EE"/>
    <w:rsid w:val="00A23EB8"/>
    <w:rsid w:val="00A24787"/>
    <w:rsid w:val="00A24DB9"/>
    <w:rsid w:val="00A25084"/>
    <w:rsid w:val="00A25F9E"/>
    <w:rsid w:val="00A31E85"/>
    <w:rsid w:val="00A32D85"/>
    <w:rsid w:val="00A34AD8"/>
    <w:rsid w:val="00A35572"/>
    <w:rsid w:val="00A35F55"/>
    <w:rsid w:val="00A37199"/>
    <w:rsid w:val="00A378D3"/>
    <w:rsid w:val="00A4175F"/>
    <w:rsid w:val="00A44411"/>
    <w:rsid w:val="00A44EEE"/>
    <w:rsid w:val="00A468F3"/>
    <w:rsid w:val="00A469FA"/>
    <w:rsid w:val="00A46C76"/>
    <w:rsid w:val="00A47FB0"/>
    <w:rsid w:val="00A51A13"/>
    <w:rsid w:val="00A51FE4"/>
    <w:rsid w:val="00A524DB"/>
    <w:rsid w:val="00A53662"/>
    <w:rsid w:val="00A545D8"/>
    <w:rsid w:val="00A55B01"/>
    <w:rsid w:val="00A56B5B"/>
    <w:rsid w:val="00A60181"/>
    <w:rsid w:val="00A60336"/>
    <w:rsid w:val="00A603FF"/>
    <w:rsid w:val="00A60CBD"/>
    <w:rsid w:val="00A619B6"/>
    <w:rsid w:val="00A64160"/>
    <w:rsid w:val="00A648CA"/>
    <w:rsid w:val="00A657DD"/>
    <w:rsid w:val="00A666A6"/>
    <w:rsid w:val="00A666C7"/>
    <w:rsid w:val="00A673FE"/>
    <w:rsid w:val="00A675FD"/>
    <w:rsid w:val="00A7033C"/>
    <w:rsid w:val="00A72437"/>
    <w:rsid w:val="00A74094"/>
    <w:rsid w:val="00A803C8"/>
    <w:rsid w:val="00A8048B"/>
    <w:rsid w:val="00A80611"/>
    <w:rsid w:val="00A81499"/>
    <w:rsid w:val="00A82D50"/>
    <w:rsid w:val="00A84C80"/>
    <w:rsid w:val="00A85708"/>
    <w:rsid w:val="00A87154"/>
    <w:rsid w:val="00A95C43"/>
    <w:rsid w:val="00A965EE"/>
    <w:rsid w:val="00A96B3B"/>
    <w:rsid w:val="00A9792E"/>
    <w:rsid w:val="00A97AC8"/>
    <w:rsid w:val="00AA1BCE"/>
    <w:rsid w:val="00AA1F6A"/>
    <w:rsid w:val="00AA2E51"/>
    <w:rsid w:val="00AA31B0"/>
    <w:rsid w:val="00AA4016"/>
    <w:rsid w:val="00AA53B0"/>
    <w:rsid w:val="00AA5BF4"/>
    <w:rsid w:val="00AA6FDE"/>
    <w:rsid w:val="00AA705E"/>
    <w:rsid w:val="00AB38D2"/>
    <w:rsid w:val="00AB3B26"/>
    <w:rsid w:val="00AB3E9B"/>
    <w:rsid w:val="00AB5340"/>
    <w:rsid w:val="00AC0A89"/>
    <w:rsid w:val="00AC0CCA"/>
    <w:rsid w:val="00AC2855"/>
    <w:rsid w:val="00AC30F5"/>
    <w:rsid w:val="00AC39AF"/>
    <w:rsid w:val="00AC65D1"/>
    <w:rsid w:val="00AC680B"/>
    <w:rsid w:val="00AC7C96"/>
    <w:rsid w:val="00AD1066"/>
    <w:rsid w:val="00AD29EE"/>
    <w:rsid w:val="00AD3593"/>
    <w:rsid w:val="00AD7ACF"/>
    <w:rsid w:val="00AE0812"/>
    <w:rsid w:val="00AE118E"/>
    <w:rsid w:val="00AE119F"/>
    <w:rsid w:val="00AE196C"/>
    <w:rsid w:val="00AE237D"/>
    <w:rsid w:val="00AE2C51"/>
    <w:rsid w:val="00AE502A"/>
    <w:rsid w:val="00AE6BB4"/>
    <w:rsid w:val="00AE7DA3"/>
    <w:rsid w:val="00AF0010"/>
    <w:rsid w:val="00AF094D"/>
    <w:rsid w:val="00AF0EC3"/>
    <w:rsid w:val="00AF1AA8"/>
    <w:rsid w:val="00AF2C1F"/>
    <w:rsid w:val="00AF2EEB"/>
    <w:rsid w:val="00AF5000"/>
    <w:rsid w:val="00AF7C07"/>
    <w:rsid w:val="00B00048"/>
    <w:rsid w:val="00B0048F"/>
    <w:rsid w:val="00B00AB0"/>
    <w:rsid w:val="00B02246"/>
    <w:rsid w:val="00B02583"/>
    <w:rsid w:val="00B03CDB"/>
    <w:rsid w:val="00B06C64"/>
    <w:rsid w:val="00B07D8E"/>
    <w:rsid w:val="00B10CE7"/>
    <w:rsid w:val="00B11CAC"/>
    <w:rsid w:val="00B12308"/>
    <w:rsid w:val="00B1232F"/>
    <w:rsid w:val="00B131E7"/>
    <w:rsid w:val="00B13D2A"/>
    <w:rsid w:val="00B14136"/>
    <w:rsid w:val="00B14C4B"/>
    <w:rsid w:val="00B15222"/>
    <w:rsid w:val="00B1548A"/>
    <w:rsid w:val="00B15A29"/>
    <w:rsid w:val="00B16BB2"/>
    <w:rsid w:val="00B22C93"/>
    <w:rsid w:val="00B24582"/>
    <w:rsid w:val="00B258C1"/>
    <w:rsid w:val="00B27087"/>
    <w:rsid w:val="00B27203"/>
    <w:rsid w:val="00B27589"/>
    <w:rsid w:val="00B312C9"/>
    <w:rsid w:val="00B31474"/>
    <w:rsid w:val="00B33F1A"/>
    <w:rsid w:val="00B33F64"/>
    <w:rsid w:val="00B405B7"/>
    <w:rsid w:val="00B426CD"/>
    <w:rsid w:val="00B44591"/>
    <w:rsid w:val="00B45922"/>
    <w:rsid w:val="00B468C0"/>
    <w:rsid w:val="00B47F74"/>
    <w:rsid w:val="00B5027A"/>
    <w:rsid w:val="00B505A2"/>
    <w:rsid w:val="00B52222"/>
    <w:rsid w:val="00B52292"/>
    <w:rsid w:val="00B531DA"/>
    <w:rsid w:val="00B54895"/>
    <w:rsid w:val="00B549F2"/>
    <w:rsid w:val="00B54FE7"/>
    <w:rsid w:val="00B55543"/>
    <w:rsid w:val="00B56FE3"/>
    <w:rsid w:val="00B57520"/>
    <w:rsid w:val="00B612AB"/>
    <w:rsid w:val="00B61D76"/>
    <w:rsid w:val="00B62407"/>
    <w:rsid w:val="00B638DB"/>
    <w:rsid w:val="00B63F6E"/>
    <w:rsid w:val="00B647C6"/>
    <w:rsid w:val="00B655F9"/>
    <w:rsid w:val="00B66901"/>
    <w:rsid w:val="00B66F60"/>
    <w:rsid w:val="00B7051C"/>
    <w:rsid w:val="00B706D0"/>
    <w:rsid w:val="00B70CE2"/>
    <w:rsid w:val="00B71E6D"/>
    <w:rsid w:val="00B72070"/>
    <w:rsid w:val="00B73042"/>
    <w:rsid w:val="00B734A3"/>
    <w:rsid w:val="00B739CC"/>
    <w:rsid w:val="00B73F5A"/>
    <w:rsid w:val="00B76023"/>
    <w:rsid w:val="00B76433"/>
    <w:rsid w:val="00B779E1"/>
    <w:rsid w:val="00B81E3A"/>
    <w:rsid w:val="00B81EBF"/>
    <w:rsid w:val="00B822A7"/>
    <w:rsid w:val="00B85CFB"/>
    <w:rsid w:val="00B90B5B"/>
    <w:rsid w:val="00B914E9"/>
    <w:rsid w:val="00B91C0F"/>
    <w:rsid w:val="00B91EE1"/>
    <w:rsid w:val="00B92379"/>
    <w:rsid w:val="00B94602"/>
    <w:rsid w:val="00BA006B"/>
    <w:rsid w:val="00BA0090"/>
    <w:rsid w:val="00BA0978"/>
    <w:rsid w:val="00BA133D"/>
    <w:rsid w:val="00BA1A67"/>
    <w:rsid w:val="00BA4A0A"/>
    <w:rsid w:val="00BA6A80"/>
    <w:rsid w:val="00BA6CFA"/>
    <w:rsid w:val="00BA7782"/>
    <w:rsid w:val="00BB0C53"/>
    <w:rsid w:val="00BB1BB5"/>
    <w:rsid w:val="00BB409D"/>
    <w:rsid w:val="00BB4ABB"/>
    <w:rsid w:val="00BB6A2D"/>
    <w:rsid w:val="00BC0F67"/>
    <w:rsid w:val="00BC254A"/>
    <w:rsid w:val="00BC3581"/>
    <w:rsid w:val="00BC3F9F"/>
    <w:rsid w:val="00BC4297"/>
    <w:rsid w:val="00BC489D"/>
    <w:rsid w:val="00BC507E"/>
    <w:rsid w:val="00BC5645"/>
    <w:rsid w:val="00BC57A1"/>
    <w:rsid w:val="00BC62BA"/>
    <w:rsid w:val="00BC67D7"/>
    <w:rsid w:val="00BD456D"/>
    <w:rsid w:val="00BD473C"/>
    <w:rsid w:val="00BD604A"/>
    <w:rsid w:val="00BD704B"/>
    <w:rsid w:val="00BE03D7"/>
    <w:rsid w:val="00BE0EC1"/>
    <w:rsid w:val="00BE1C1F"/>
    <w:rsid w:val="00BE3EA9"/>
    <w:rsid w:val="00BE404C"/>
    <w:rsid w:val="00BE5431"/>
    <w:rsid w:val="00BE5B5F"/>
    <w:rsid w:val="00BE5BE5"/>
    <w:rsid w:val="00BE7993"/>
    <w:rsid w:val="00BE7D8C"/>
    <w:rsid w:val="00BE7E28"/>
    <w:rsid w:val="00BF02B7"/>
    <w:rsid w:val="00BF0CFE"/>
    <w:rsid w:val="00BF1D14"/>
    <w:rsid w:val="00BF26F4"/>
    <w:rsid w:val="00BF2AF8"/>
    <w:rsid w:val="00BF4B4F"/>
    <w:rsid w:val="00BF507F"/>
    <w:rsid w:val="00C003C5"/>
    <w:rsid w:val="00C0043D"/>
    <w:rsid w:val="00C0114A"/>
    <w:rsid w:val="00C01AD3"/>
    <w:rsid w:val="00C02299"/>
    <w:rsid w:val="00C0605A"/>
    <w:rsid w:val="00C07C7E"/>
    <w:rsid w:val="00C114B7"/>
    <w:rsid w:val="00C11971"/>
    <w:rsid w:val="00C179DE"/>
    <w:rsid w:val="00C202B3"/>
    <w:rsid w:val="00C20A74"/>
    <w:rsid w:val="00C20EFE"/>
    <w:rsid w:val="00C23C6D"/>
    <w:rsid w:val="00C26F55"/>
    <w:rsid w:val="00C30C63"/>
    <w:rsid w:val="00C30FF3"/>
    <w:rsid w:val="00C31551"/>
    <w:rsid w:val="00C32A38"/>
    <w:rsid w:val="00C32A9A"/>
    <w:rsid w:val="00C34201"/>
    <w:rsid w:val="00C34D5C"/>
    <w:rsid w:val="00C3589A"/>
    <w:rsid w:val="00C36B8B"/>
    <w:rsid w:val="00C3705C"/>
    <w:rsid w:val="00C37B74"/>
    <w:rsid w:val="00C37F8D"/>
    <w:rsid w:val="00C415C1"/>
    <w:rsid w:val="00C422E3"/>
    <w:rsid w:val="00C42763"/>
    <w:rsid w:val="00C433AC"/>
    <w:rsid w:val="00C43F22"/>
    <w:rsid w:val="00C450D1"/>
    <w:rsid w:val="00C457D8"/>
    <w:rsid w:val="00C47DBF"/>
    <w:rsid w:val="00C54FDE"/>
    <w:rsid w:val="00C552FF"/>
    <w:rsid w:val="00C55484"/>
    <w:rsid w:val="00C558DA"/>
    <w:rsid w:val="00C55AF3"/>
    <w:rsid w:val="00C56BC2"/>
    <w:rsid w:val="00C611FC"/>
    <w:rsid w:val="00C6563A"/>
    <w:rsid w:val="00C700D5"/>
    <w:rsid w:val="00C72EA6"/>
    <w:rsid w:val="00C74605"/>
    <w:rsid w:val="00C771A9"/>
    <w:rsid w:val="00C80913"/>
    <w:rsid w:val="00C82943"/>
    <w:rsid w:val="00C832DE"/>
    <w:rsid w:val="00C8347D"/>
    <w:rsid w:val="00C84759"/>
    <w:rsid w:val="00C8590E"/>
    <w:rsid w:val="00C86C21"/>
    <w:rsid w:val="00C87A02"/>
    <w:rsid w:val="00C87D9C"/>
    <w:rsid w:val="00C93096"/>
    <w:rsid w:val="00C9335F"/>
    <w:rsid w:val="00C943B2"/>
    <w:rsid w:val="00C95B7D"/>
    <w:rsid w:val="00C97EA3"/>
    <w:rsid w:val="00CA1198"/>
    <w:rsid w:val="00CA161C"/>
    <w:rsid w:val="00CA2744"/>
    <w:rsid w:val="00CA3392"/>
    <w:rsid w:val="00CA3D46"/>
    <w:rsid w:val="00CA5B48"/>
    <w:rsid w:val="00CA5CA9"/>
    <w:rsid w:val="00CA6154"/>
    <w:rsid w:val="00CA6C7F"/>
    <w:rsid w:val="00CA79C3"/>
    <w:rsid w:val="00CA7E77"/>
    <w:rsid w:val="00CB007D"/>
    <w:rsid w:val="00CB1EBE"/>
    <w:rsid w:val="00CB229E"/>
    <w:rsid w:val="00CB2628"/>
    <w:rsid w:val="00CB38F6"/>
    <w:rsid w:val="00CB60CA"/>
    <w:rsid w:val="00CC06FE"/>
    <w:rsid w:val="00CC0DD8"/>
    <w:rsid w:val="00CC0FC7"/>
    <w:rsid w:val="00CC10A6"/>
    <w:rsid w:val="00CC1D53"/>
    <w:rsid w:val="00CC6C74"/>
    <w:rsid w:val="00CC6D5F"/>
    <w:rsid w:val="00CD282C"/>
    <w:rsid w:val="00CD2A00"/>
    <w:rsid w:val="00CD3A0F"/>
    <w:rsid w:val="00CD585A"/>
    <w:rsid w:val="00CD5EB8"/>
    <w:rsid w:val="00CD600D"/>
    <w:rsid w:val="00CD6283"/>
    <w:rsid w:val="00CD7044"/>
    <w:rsid w:val="00CD71AC"/>
    <w:rsid w:val="00CD78A7"/>
    <w:rsid w:val="00CE08B9"/>
    <w:rsid w:val="00CE13C3"/>
    <w:rsid w:val="00CE25B9"/>
    <w:rsid w:val="00CE29CB"/>
    <w:rsid w:val="00CE3515"/>
    <w:rsid w:val="00CE35A0"/>
    <w:rsid w:val="00CE502E"/>
    <w:rsid w:val="00CE524C"/>
    <w:rsid w:val="00CE5F69"/>
    <w:rsid w:val="00CF1321"/>
    <w:rsid w:val="00CF141F"/>
    <w:rsid w:val="00CF4777"/>
    <w:rsid w:val="00CF5AF9"/>
    <w:rsid w:val="00CF65C8"/>
    <w:rsid w:val="00CF6FD8"/>
    <w:rsid w:val="00D013F5"/>
    <w:rsid w:val="00D02286"/>
    <w:rsid w:val="00D036A3"/>
    <w:rsid w:val="00D049C8"/>
    <w:rsid w:val="00D05E3F"/>
    <w:rsid w:val="00D063CE"/>
    <w:rsid w:val="00D067BB"/>
    <w:rsid w:val="00D07009"/>
    <w:rsid w:val="00D100F2"/>
    <w:rsid w:val="00D12327"/>
    <w:rsid w:val="00D1352A"/>
    <w:rsid w:val="00D14D8F"/>
    <w:rsid w:val="00D15BB4"/>
    <w:rsid w:val="00D1638E"/>
    <w:rsid w:val="00D169AF"/>
    <w:rsid w:val="00D16FB9"/>
    <w:rsid w:val="00D200EF"/>
    <w:rsid w:val="00D21475"/>
    <w:rsid w:val="00D24A13"/>
    <w:rsid w:val="00D25175"/>
    <w:rsid w:val="00D25249"/>
    <w:rsid w:val="00D258D4"/>
    <w:rsid w:val="00D26854"/>
    <w:rsid w:val="00D26BF5"/>
    <w:rsid w:val="00D30E63"/>
    <w:rsid w:val="00D33010"/>
    <w:rsid w:val="00D35835"/>
    <w:rsid w:val="00D36D0E"/>
    <w:rsid w:val="00D417B1"/>
    <w:rsid w:val="00D41D02"/>
    <w:rsid w:val="00D43D00"/>
    <w:rsid w:val="00D44172"/>
    <w:rsid w:val="00D46920"/>
    <w:rsid w:val="00D47607"/>
    <w:rsid w:val="00D479B4"/>
    <w:rsid w:val="00D47BE3"/>
    <w:rsid w:val="00D50042"/>
    <w:rsid w:val="00D505FA"/>
    <w:rsid w:val="00D5089E"/>
    <w:rsid w:val="00D51FD9"/>
    <w:rsid w:val="00D5427A"/>
    <w:rsid w:val="00D57009"/>
    <w:rsid w:val="00D60A08"/>
    <w:rsid w:val="00D60B22"/>
    <w:rsid w:val="00D60B33"/>
    <w:rsid w:val="00D60C5A"/>
    <w:rsid w:val="00D61551"/>
    <w:rsid w:val="00D620FD"/>
    <w:rsid w:val="00D63B8C"/>
    <w:rsid w:val="00D64630"/>
    <w:rsid w:val="00D648F6"/>
    <w:rsid w:val="00D6688B"/>
    <w:rsid w:val="00D67D13"/>
    <w:rsid w:val="00D70ED7"/>
    <w:rsid w:val="00D739CC"/>
    <w:rsid w:val="00D7498B"/>
    <w:rsid w:val="00D75F73"/>
    <w:rsid w:val="00D76371"/>
    <w:rsid w:val="00D76CD4"/>
    <w:rsid w:val="00D77C35"/>
    <w:rsid w:val="00D80134"/>
    <w:rsid w:val="00D806F9"/>
    <w:rsid w:val="00D8093D"/>
    <w:rsid w:val="00D8108C"/>
    <w:rsid w:val="00D822DE"/>
    <w:rsid w:val="00D832A0"/>
    <w:rsid w:val="00D842AE"/>
    <w:rsid w:val="00D84E8A"/>
    <w:rsid w:val="00D90BAA"/>
    <w:rsid w:val="00D9211C"/>
    <w:rsid w:val="00D92DE0"/>
    <w:rsid w:val="00D92FEF"/>
    <w:rsid w:val="00D931F9"/>
    <w:rsid w:val="00D93A0F"/>
    <w:rsid w:val="00D95755"/>
    <w:rsid w:val="00D97546"/>
    <w:rsid w:val="00D97A8A"/>
    <w:rsid w:val="00DA0885"/>
    <w:rsid w:val="00DA1BCA"/>
    <w:rsid w:val="00DA324E"/>
    <w:rsid w:val="00DA3663"/>
    <w:rsid w:val="00DA4BAB"/>
    <w:rsid w:val="00DA610F"/>
    <w:rsid w:val="00DA659A"/>
    <w:rsid w:val="00DA68FD"/>
    <w:rsid w:val="00DA780B"/>
    <w:rsid w:val="00DB08E6"/>
    <w:rsid w:val="00DB1314"/>
    <w:rsid w:val="00DB1C90"/>
    <w:rsid w:val="00DB1E21"/>
    <w:rsid w:val="00DB4647"/>
    <w:rsid w:val="00DC274A"/>
    <w:rsid w:val="00DC27C2"/>
    <w:rsid w:val="00DC46FF"/>
    <w:rsid w:val="00DC479E"/>
    <w:rsid w:val="00DC4F9B"/>
    <w:rsid w:val="00DC5254"/>
    <w:rsid w:val="00DC569D"/>
    <w:rsid w:val="00DC6661"/>
    <w:rsid w:val="00DC7A3A"/>
    <w:rsid w:val="00DC7EEC"/>
    <w:rsid w:val="00DD0D3E"/>
    <w:rsid w:val="00DD1A4F"/>
    <w:rsid w:val="00DD2BC1"/>
    <w:rsid w:val="00DD3107"/>
    <w:rsid w:val="00DD3130"/>
    <w:rsid w:val="00DD5908"/>
    <w:rsid w:val="00DD7C2C"/>
    <w:rsid w:val="00DE0F13"/>
    <w:rsid w:val="00DE298C"/>
    <w:rsid w:val="00DE2DE4"/>
    <w:rsid w:val="00DE335D"/>
    <w:rsid w:val="00DE5BDA"/>
    <w:rsid w:val="00DE7BA0"/>
    <w:rsid w:val="00DF28A2"/>
    <w:rsid w:val="00DF344A"/>
    <w:rsid w:val="00DF38B8"/>
    <w:rsid w:val="00DF3B97"/>
    <w:rsid w:val="00DF433C"/>
    <w:rsid w:val="00DF519F"/>
    <w:rsid w:val="00DF5475"/>
    <w:rsid w:val="00DF6089"/>
    <w:rsid w:val="00DF6817"/>
    <w:rsid w:val="00E00008"/>
    <w:rsid w:val="00E0035A"/>
    <w:rsid w:val="00E00A79"/>
    <w:rsid w:val="00E05356"/>
    <w:rsid w:val="00E0673E"/>
    <w:rsid w:val="00E06797"/>
    <w:rsid w:val="00E06D79"/>
    <w:rsid w:val="00E07308"/>
    <w:rsid w:val="00E07443"/>
    <w:rsid w:val="00E10975"/>
    <w:rsid w:val="00E11F5D"/>
    <w:rsid w:val="00E1265B"/>
    <w:rsid w:val="00E12E09"/>
    <w:rsid w:val="00E13B48"/>
    <w:rsid w:val="00E1404F"/>
    <w:rsid w:val="00E170B3"/>
    <w:rsid w:val="00E20B37"/>
    <w:rsid w:val="00E21C83"/>
    <w:rsid w:val="00E2232C"/>
    <w:rsid w:val="00E224BC"/>
    <w:rsid w:val="00E23737"/>
    <w:rsid w:val="00E244E4"/>
    <w:rsid w:val="00E24ADA"/>
    <w:rsid w:val="00E258C9"/>
    <w:rsid w:val="00E258D1"/>
    <w:rsid w:val="00E263E1"/>
    <w:rsid w:val="00E27760"/>
    <w:rsid w:val="00E311E8"/>
    <w:rsid w:val="00E321C7"/>
    <w:rsid w:val="00E32F59"/>
    <w:rsid w:val="00E33B25"/>
    <w:rsid w:val="00E34240"/>
    <w:rsid w:val="00E37083"/>
    <w:rsid w:val="00E41908"/>
    <w:rsid w:val="00E4503F"/>
    <w:rsid w:val="00E46D9A"/>
    <w:rsid w:val="00E472C8"/>
    <w:rsid w:val="00E544F4"/>
    <w:rsid w:val="00E545E1"/>
    <w:rsid w:val="00E55328"/>
    <w:rsid w:val="00E565FF"/>
    <w:rsid w:val="00E56D6B"/>
    <w:rsid w:val="00E64DCB"/>
    <w:rsid w:val="00E65388"/>
    <w:rsid w:val="00E6709E"/>
    <w:rsid w:val="00E730CF"/>
    <w:rsid w:val="00E73A69"/>
    <w:rsid w:val="00E73E2E"/>
    <w:rsid w:val="00E73E7E"/>
    <w:rsid w:val="00E74160"/>
    <w:rsid w:val="00E74B03"/>
    <w:rsid w:val="00E75BE3"/>
    <w:rsid w:val="00E76332"/>
    <w:rsid w:val="00E77018"/>
    <w:rsid w:val="00E7741D"/>
    <w:rsid w:val="00E808CD"/>
    <w:rsid w:val="00E8348F"/>
    <w:rsid w:val="00E85B7D"/>
    <w:rsid w:val="00E866CF"/>
    <w:rsid w:val="00E87E47"/>
    <w:rsid w:val="00E90931"/>
    <w:rsid w:val="00E9121B"/>
    <w:rsid w:val="00E9302E"/>
    <w:rsid w:val="00E9378C"/>
    <w:rsid w:val="00E976AB"/>
    <w:rsid w:val="00EA0AE2"/>
    <w:rsid w:val="00EA239D"/>
    <w:rsid w:val="00EA25BC"/>
    <w:rsid w:val="00EA39E5"/>
    <w:rsid w:val="00EA57A3"/>
    <w:rsid w:val="00EA57CE"/>
    <w:rsid w:val="00EB07D6"/>
    <w:rsid w:val="00EB20C0"/>
    <w:rsid w:val="00EC0BE4"/>
    <w:rsid w:val="00EC2813"/>
    <w:rsid w:val="00EC349F"/>
    <w:rsid w:val="00EC5A46"/>
    <w:rsid w:val="00EC63E2"/>
    <w:rsid w:val="00EC6C6F"/>
    <w:rsid w:val="00EC7456"/>
    <w:rsid w:val="00ED0225"/>
    <w:rsid w:val="00ED1B1A"/>
    <w:rsid w:val="00ED366A"/>
    <w:rsid w:val="00ED3A36"/>
    <w:rsid w:val="00ED42B5"/>
    <w:rsid w:val="00ED4699"/>
    <w:rsid w:val="00ED6BB7"/>
    <w:rsid w:val="00ED7498"/>
    <w:rsid w:val="00EE3279"/>
    <w:rsid w:val="00EE3CE1"/>
    <w:rsid w:val="00EE54A1"/>
    <w:rsid w:val="00EE5E19"/>
    <w:rsid w:val="00EE6A6E"/>
    <w:rsid w:val="00EE6BE4"/>
    <w:rsid w:val="00EF0951"/>
    <w:rsid w:val="00EF22B3"/>
    <w:rsid w:val="00EF314F"/>
    <w:rsid w:val="00EF37DE"/>
    <w:rsid w:val="00EF5366"/>
    <w:rsid w:val="00F01239"/>
    <w:rsid w:val="00F01791"/>
    <w:rsid w:val="00F03B69"/>
    <w:rsid w:val="00F04070"/>
    <w:rsid w:val="00F055C2"/>
    <w:rsid w:val="00F07A50"/>
    <w:rsid w:val="00F102D4"/>
    <w:rsid w:val="00F1061A"/>
    <w:rsid w:val="00F113DA"/>
    <w:rsid w:val="00F14198"/>
    <w:rsid w:val="00F15160"/>
    <w:rsid w:val="00F153B7"/>
    <w:rsid w:val="00F1559E"/>
    <w:rsid w:val="00F22360"/>
    <w:rsid w:val="00F22967"/>
    <w:rsid w:val="00F23252"/>
    <w:rsid w:val="00F266FC"/>
    <w:rsid w:val="00F27FFB"/>
    <w:rsid w:val="00F3037A"/>
    <w:rsid w:val="00F317CD"/>
    <w:rsid w:val="00F3465A"/>
    <w:rsid w:val="00F34FF8"/>
    <w:rsid w:val="00F37DC8"/>
    <w:rsid w:val="00F410E2"/>
    <w:rsid w:val="00F4240C"/>
    <w:rsid w:val="00F4294B"/>
    <w:rsid w:val="00F439B3"/>
    <w:rsid w:val="00F45202"/>
    <w:rsid w:val="00F47865"/>
    <w:rsid w:val="00F5120B"/>
    <w:rsid w:val="00F519E9"/>
    <w:rsid w:val="00F51F5F"/>
    <w:rsid w:val="00F5311F"/>
    <w:rsid w:val="00F533DC"/>
    <w:rsid w:val="00F53463"/>
    <w:rsid w:val="00F55C28"/>
    <w:rsid w:val="00F55F57"/>
    <w:rsid w:val="00F56012"/>
    <w:rsid w:val="00F56194"/>
    <w:rsid w:val="00F572BB"/>
    <w:rsid w:val="00F57539"/>
    <w:rsid w:val="00F57BFC"/>
    <w:rsid w:val="00F600D5"/>
    <w:rsid w:val="00F61D30"/>
    <w:rsid w:val="00F629EA"/>
    <w:rsid w:val="00F63534"/>
    <w:rsid w:val="00F635B7"/>
    <w:rsid w:val="00F63C9F"/>
    <w:rsid w:val="00F650C3"/>
    <w:rsid w:val="00F65CA1"/>
    <w:rsid w:val="00F65D85"/>
    <w:rsid w:val="00F665ED"/>
    <w:rsid w:val="00F6700B"/>
    <w:rsid w:val="00F673E1"/>
    <w:rsid w:val="00F679EA"/>
    <w:rsid w:val="00F67F74"/>
    <w:rsid w:val="00F7137B"/>
    <w:rsid w:val="00F75E76"/>
    <w:rsid w:val="00F8084E"/>
    <w:rsid w:val="00F8091E"/>
    <w:rsid w:val="00F80EB3"/>
    <w:rsid w:val="00F80FB5"/>
    <w:rsid w:val="00F81F2A"/>
    <w:rsid w:val="00F82F20"/>
    <w:rsid w:val="00F83BF2"/>
    <w:rsid w:val="00F85716"/>
    <w:rsid w:val="00F8615C"/>
    <w:rsid w:val="00F90A77"/>
    <w:rsid w:val="00F91C4F"/>
    <w:rsid w:val="00F922D3"/>
    <w:rsid w:val="00F94B1B"/>
    <w:rsid w:val="00F969E5"/>
    <w:rsid w:val="00FA12A8"/>
    <w:rsid w:val="00FA1708"/>
    <w:rsid w:val="00FA3406"/>
    <w:rsid w:val="00FA4972"/>
    <w:rsid w:val="00FA5D35"/>
    <w:rsid w:val="00FA6A30"/>
    <w:rsid w:val="00FA6BB0"/>
    <w:rsid w:val="00FA7E13"/>
    <w:rsid w:val="00FB049E"/>
    <w:rsid w:val="00FB0C28"/>
    <w:rsid w:val="00FB2324"/>
    <w:rsid w:val="00FB2DBD"/>
    <w:rsid w:val="00FB3481"/>
    <w:rsid w:val="00FB3567"/>
    <w:rsid w:val="00FB4230"/>
    <w:rsid w:val="00FB539E"/>
    <w:rsid w:val="00FB6282"/>
    <w:rsid w:val="00FB65ED"/>
    <w:rsid w:val="00FB7E46"/>
    <w:rsid w:val="00FC03CF"/>
    <w:rsid w:val="00FD24DB"/>
    <w:rsid w:val="00FD2F80"/>
    <w:rsid w:val="00FD48DF"/>
    <w:rsid w:val="00FD5860"/>
    <w:rsid w:val="00FD6686"/>
    <w:rsid w:val="00FD6D11"/>
    <w:rsid w:val="00FE352D"/>
    <w:rsid w:val="00FE40EB"/>
    <w:rsid w:val="00FE4D02"/>
    <w:rsid w:val="00FE6A36"/>
    <w:rsid w:val="00FE7D62"/>
    <w:rsid w:val="00FE7E26"/>
    <w:rsid w:val="00FF0DA0"/>
    <w:rsid w:val="00FF1378"/>
    <w:rsid w:val="00FF3819"/>
    <w:rsid w:val="00FF3822"/>
    <w:rsid w:val="00FF476C"/>
    <w:rsid w:val="00FF4EA5"/>
    <w:rsid w:val="00FF556A"/>
    <w:rsid w:val="00FF5A9E"/>
    <w:rsid w:val="00FF704F"/>
    <w:rsid w:val="00FF7636"/>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06B4B"/>
  <w15:docId w15:val="{CF410B7F-01E7-49A6-9717-B5D49C11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val="es-ES_tradnl"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01791"/>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F01791"/>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link w:val="NormalpoolChar"/>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text,Footnote Text1"/>
    <w:link w:val="BVIfnrCharCharCharChar"/>
    <w:uiPriority w:val="99"/>
    <w:qFormat/>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93"/>
    <w:basedOn w:val="Normalpool"/>
    <w:link w:val="FootnoteTextChar"/>
    <w:qFormat/>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uiPriority w:val="3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qFormat/>
    <w:rsid w:val="008F77F9"/>
    <w:p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qFormat/>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uiPriority w:val="20"/>
    <w:qFormat/>
    <w:rsid w:val="00155A2F"/>
    <w:rPr>
      <w:i/>
      <w:iCs/>
    </w:rPr>
  </w:style>
  <w:style w:type="character" w:customStyle="1" w:styleId="CH2Char">
    <w:name w:val="CH2 Char"/>
    <w:link w:val="CH2"/>
    <w:locked/>
    <w:rsid w:val="00F01791"/>
    <w:rPr>
      <w:b/>
      <w:sz w:val="24"/>
      <w:szCs w:val="24"/>
      <w:lang w:eastAsia="en-US"/>
    </w:rPr>
  </w:style>
  <w:style w:type="character" w:customStyle="1" w:styleId="CH3Char">
    <w:name w:val="CH3 Char"/>
    <w:link w:val="CH3"/>
    <w:locked/>
    <w:rsid w:val="00F01791"/>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4"/>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99003C"/>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99003C"/>
    <w:rPr>
      <w:lang w:eastAsia="en-US"/>
    </w:rPr>
  </w:style>
  <w:style w:type="numbering" w:customStyle="1" w:styleId="Importovanstyl4">
    <w:name w:val="Importovaný styl 4"/>
    <w:rsid w:val="0099003C"/>
    <w:pPr>
      <w:numPr>
        <w:numId w:val="5"/>
      </w:numPr>
    </w:pPr>
  </w:style>
  <w:style w:type="numbering" w:customStyle="1" w:styleId="Importovanstyl5">
    <w:name w:val="Importovaný styl 5"/>
    <w:rsid w:val="0099003C"/>
    <w:pPr>
      <w:numPr>
        <w:numId w:val="6"/>
      </w:numPr>
    </w:pPr>
  </w:style>
  <w:style w:type="numbering" w:customStyle="1" w:styleId="Importovanstyl6">
    <w:name w:val="Importovaný styl 6"/>
    <w:rsid w:val="0099003C"/>
    <w:pPr>
      <w:numPr>
        <w:numId w:val="7"/>
      </w:numPr>
    </w:pPr>
  </w:style>
  <w:style w:type="numbering" w:customStyle="1" w:styleId="Importovanstyl8">
    <w:name w:val="Importovaný styl 8"/>
    <w:rsid w:val="0099003C"/>
  </w:style>
  <w:style w:type="numbering" w:customStyle="1" w:styleId="Importovanstyl9">
    <w:name w:val="Importovaný styl 9"/>
    <w:rsid w:val="0099003C"/>
    <w:pPr>
      <w:numPr>
        <w:numId w:val="9"/>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0"/>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StyleJW">
    <w:name w:val="Style JW"/>
    <w:basedOn w:val="BodyText"/>
    <w:qFormat/>
    <w:rsid w:val="00EF0951"/>
    <w:pPr>
      <w:tabs>
        <w:tab w:val="left" w:pos="720"/>
        <w:tab w:val="left" w:pos="2160"/>
        <w:tab w:val="center" w:pos="4677"/>
      </w:tabs>
      <w:suppressAutoHyphens/>
      <w:outlineLvl w:val="0"/>
    </w:pPr>
    <w:rPr>
      <w:rFonts w:ascii="Arial" w:hAnsi="Arial" w:cs="Arial"/>
      <w:b/>
      <w:bCs/>
      <w:sz w:val="28"/>
      <w:szCs w:val="28"/>
    </w:rPr>
  </w:style>
  <w:style w:type="paragraph" w:customStyle="1" w:styleId="Text">
    <w:name w:val="Text"/>
    <w:rsid w:val="003F4DA7"/>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rPr>
  </w:style>
  <w:style w:type="character" w:customStyle="1" w:styleId="job-value">
    <w:name w:val="job-value"/>
    <w:basedOn w:val="DefaultParagraphFont"/>
    <w:rsid w:val="00546E2E"/>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Text"/>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 w:type="numbering" w:customStyle="1" w:styleId="Normallist1">
    <w:name w:val="Normal_list1"/>
    <w:basedOn w:val="NoList"/>
    <w:rsid w:val="005726B0"/>
  </w:style>
  <w:style w:type="numbering" w:customStyle="1" w:styleId="Normallist2">
    <w:name w:val="Normal_list2"/>
    <w:basedOn w:val="NoList"/>
    <w:rsid w:val="005726B0"/>
  </w:style>
  <w:style w:type="numbering" w:customStyle="1" w:styleId="Normallist3">
    <w:name w:val="Normal_list3"/>
    <w:basedOn w:val="NoList"/>
    <w:rsid w:val="005726B0"/>
  </w:style>
  <w:style w:type="numbering" w:customStyle="1" w:styleId="Normallist4">
    <w:name w:val="Normal_list4"/>
    <w:basedOn w:val="NoList"/>
    <w:rsid w:val="00F81F2A"/>
    <w:pPr>
      <w:numPr>
        <w:numId w:val="1"/>
      </w:numPr>
    </w:pPr>
  </w:style>
  <w:style w:type="character" w:customStyle="1" w:styleId="DeltaViewInsertion">
    <w:name w:val="DeltaView Insertion"/>
    <w:uiPriority w:val="99"/>
    <w:rsid w:val="00AA705E"/>
    <w:rPr>
      <w:color w:val="0000FF"/>
      <w:u w:val="double"/>
    </w:rPr>
  </w:style>
  <w:style w:type="numbering" w:customStyle="1" w:styleId="Normallist5">
    <w:name w:val="Normal_list5"/>
    <w:basedOn w:val="NoList"/>
    <w:rsid w:val="009D28CB"/>
    <w:pPr>
      <w:numPr>
        <w:numId w:val="8"/>
      </w:numPr>
    </w:pPr>
  </w:style>
  <w:style w:type="paragraph" w:styleId="EndnoteText">
    <w:name w:val="endnote text"/>
    <w:basedOn w:val="Normal"/>
    <w:link w:val="EndnoteTextChar"/>
    <w:semiHidden/>
    <w:unhideWhenUsed/>
    <w:rsid w:val="00027A66"/>
  </w:style>
  <w:style w:type="character" w:customStyle="1" w:styleId="EndnoteTextChar">
    <w:name w:val="Endnote Text Char"/>
    <w:basedOn w:val="DefaultParagraphFont"/>
    <w:link w:val="EndnoteText"/>
    <w:semiHidden/>
    <w:rsid w:val="00027A66"/>
    <w:rPr>
      <w:lang w:val="es-ES_tradnl" w:eastAsia="en-US"/>
    </w:rPr>
  </w:style>
  <w:style w:type="character" w:styleId="EndnoteReference">
    <w:name w:val="endnote reference"/>
    <w:basedOn w:val="DefaultParagraphFont"/>
    <w:semiHidden/>
    <w:unhideWhenUsed/>
    <w:rsid w:val="00027A66"/>
    <w:rPr>
      <w:vertAlign w:val="superscript"/>
    </w:rPr>
  </w:style>
  <w:style w:type="paragraph" w:customStyle="1" w:styleId="Corps">
    <w:name w:val="Corps"/>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Pardfaut">
    <w:name w:val="Par défaut"/>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customStyle="1" w:styleId="dn">
    <w:name w:val="Žádný"/>
    <w:rsid w:val="0055392D"/>
  </w:style>
  <w:style w:type="character" w:styleId="LineNumber">
    <w:name w:val="line number"/>
    <w:basedOn w:val="DefaultParagraphFont"/>
    <w:uiPriority w:val="99"/>
    <w:semiHidden/>
    <w:unhideWhenUsed/>
    <w:rsid w:val="0055392D"/>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rsid w:val="0055392D"/>
    <w:rPr>
      <w:lang w:val="es-ES_tradnl" w:eastAsia="en-US"/>
    </w:rPr>
  </w:style>
  <w:style w:type="character" w:customStyle="1" w:styleId="SubtitleChar">
    <w:name w:val="Subtitle Char"/>
    <w:qFormat/>
    <w:rsid w:val="00F533DC"/>
    <w:rPr>
      <w:rFonts w:ascii="Cambria" w:eastAsia="Cambria" w:hAnsi="Cambria"/>
      <w:sz w:val="24"/>
    </w:rPr>
  </w:style>
  <w:style w:type="paragraph" w:styleId="List">
    <w:name w:val="List"/>
    <w:basedOn w:val="Normal"/>
    <w:unhideWhenUsed/>
    <w:rsid w:val="00CA2744"/>
    <w:pPr>
      <w:ind w:left="283" w:hanging="283"/>
      <w:contextualSpacing/>
    </w:pPr>
  </w:style>
  <w:style w:type="paragraph" w:styleId="List2">
    <w:name w:val="List 2"/>
    <w:basedOn w:val="Normal"/>
    <w:unhideWhenUsed/>
    <w:rsid w:val="00CA2744"/>
    <w:pPr>
      <w:ind w:left="566" w:hanging="283"/>
      <w:contextualSpacing/>
    </w:pPr>
  </w:style>
  <w:style w:type="paragraph" w:styleId="List3">
    <w:name w:val="List 3"/>
    <w:basedOn w:val="Normal"/>
    <w:unhideWhenUsed/>
    <w:rsid w:val="00CA2744"/>
    <w:pPr>
      <w:ind w:left="849" w:hanging="283"/>
      <w:contextualSpacing/>
    </w:pPr>
  </w:style>
  <w:style w:type="paragraph" w:styleId="List4">
    <w:name w:val="List 4"/>
    <w:basedOn w:val="Normal"/>
    <w:rsid w:val="00CA2744"/>
    <w:pPr>
      <w:ind w:left="1132" w:hanging="283"/>
      <w:contextualSpacing/>
    </w:pPr>
  </w:style>
  <w:style w:type="paragraph" w:styleId="List5">
    <w:name w:val="List 5"/>
    <w:basedOn w:val="Normal"/>
    <w:rsid w:val="00CA2744"/>
    <w:pPr>
      <w:ind w:left="1415" w:hanging="283"/>
      <w:contextualSpacing/>
    </w:pPr>
  </w:style>
  <w:style w:type="paragraph" w:styleId="MessageHeader">
    <w:name w:val="Message Header"/>
    <w:basedOn w:val="Normal"/>
    <w:link w:val="MessageHeaderChar"/>
    <w:unhideWhenUsed/>
    <w:rsid w:val="00CA27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A2744"/>
    <w:rPr>
      <w:rFonts w:asciiTheme="majorHAnsi" w:eastAsiaTheme="majorEastAsia" w:hAnsiTheme="majorHAnsi" w:cstheme="majorBidi"/>
      <w:sz w:val="24"/>
      <w:szCs w:val="24"/>
      <w:shd w:val="pct20" w:color="auto" w:fill="auto"/>
      <w:lang w:val="es-ES_tradnl" w:eastAsia="en-US"/>
    </w:rPr>
  </w:style>
  <w:style w:type="paragraph" w:styleId="BodyTextFirstIndent">
    <w:name w:val="Body Text First Indent"/>
    <w:basedOn w:val="BodyText"/>
    <w:link w:val="BodyTextFirstIndentChar"/>
    <w:rsid w:val="00CA2744"/>
    <w:pPr>
      <w:tabs>
        <w:tab w:val="left" w:pos="1247"/>
        <w:tab w:val="left" w:pos="1814"/>
        <w:tab w:val="left" w:pos="2381"/>
        <w:tab w:val="left" w:pos="2948"/>
        <w:tab w:val="left" w:pos="3515"/>
      </w:tabs>
      <w:ind w:firstLine="360"/>
    </w:pPr>
    <w:rPr>
      <w:rFonts w:eastAsia="Times New Roman"/>
      <w:sz w:val="20"/>
      <w:szCs w:val="20"/>
      <w:lang w:val="es-ES_tradnl"/>
    </w:rPr>
  </w:style>
  <w:style w:type="character" w:customStyle="1" w:styleId="BodyTextFirstIndentChar">
    <w:name w:val="Body Text First Indent Char"/>
    <w:basedOn w:val="BodyTextChar"/>
    <w:link w:val="BodyTextFirstIndent"/>
    <w:rsid w:val="00CA2744"/>
    <w:rPr>
      <w:rFonts w:eastAsia="SimSun"/>
      <w:sz w:val="22"/>
      <w:szCs w:val="24"/>
      <w:lang w:val="es-ES_tradnl" w:eastAsia="en-US"/>
    </w:rPr>
  </w:style>
  <w:style w:type="paragraph" w:styleId="BodyTextIndent">
    <w:name w:val="Body Text Indent"/>
    <w:basedOn w:val="Normal"/>
    <w:link w:val="BodyTextIndentChar"/>
    <w:semiHidden/>
    <w:unhideWhenUsed/>
    <w:rsid w:val="00CA2744"/>
    <w:pPr>
      <w:spacing w:after="120"/>
      <w:ind w:left="283"/>
    </w:pPr>
  </w:style>
  <w:style w:type="character" w:customStyle="1" w:styleId="BodyTextIndentChar">
    <w:name w:val="Body Text Indent Char"/>
    <w:basedOn w:val="DefaultParagraphFont"/>
    <w:link w:val="BodyTextIndent"/>
    <w:semiHidden/>
    <w:rsid w:val="00CA2744"/>
    <w:rPr>
      <w:lang w:val="es-ES_tradnl" w:eastAsia="en-US"/>
    </w:rPr>
  </w:style>
  <w:style w:type="paragraph" w:styleId="BodyTextFirstIndent2">
    <w:name w:val="Body Text First Indent 2"/>
    <w:basedOn w:val="BodyTextIndent"/>
    <w:link w:val="BodyTextFirstIndent2Char"/>
    <w:unhideWhenUsed/>
    <w:rsid w:val="00CA2744"/>
    <w:pPr>
      <w:spacing w:after="0"/>
      <w:ind w:left="360" w:firstLine="360"/>
    </w:pPr>
  </w:style>
  <w:style w:type="character" w:customStyle="1" w:styleId="BodyTextFirstIndent2Char">
    <w:name w:val="Body Text First Indent 2 Char"/>
    <w:basedOn w:val="BodyTextIndentChar"/>
    <w:link w:val="BodyTextFirstIndent2"/>
    <w:rsid w:val="00CA2744"/>
    <w:rPr>
      <w:lang w:val="es-ES_tradnl" w:eastAsia="en-US"/>
    </w:rPr>
  </w:style>
  <w:style w:type="character" w:customStyle="1" w:styleId="btn">
    <w:name w:val="btn"/>
    <w:basedOn w:val="DefaultParagraphFont"/>
    <w:rsid w:val="00221DEE"/>
  </w:style>
  <w:style w:type="character" w:customStyle="1" w:styleId="enresult">
    <w:name w:val="enresult"/>
    <w:basedOn w:val="DefaultParagraphFont"/>
    <w:rsid w:val="00221DEE"/>
  </w:style>
  <w:style w:type="character" w:customStyle="1" w:styleId="preferred">
    <w:name w:val="preferred"/>
    <w:basedOn w:val="DefaultParagraphFont"/>
    <w:rsid w:val="00221DEE"/>
  </w:style>
  <w:style w:type="character" w:customStyle="1" w:styleId="esresult">
    <w:name w:val="esresult"/>
    <w:basedOn w:val="DefaultParagraphFont"/>
    <w:rsid w:val="00221DEE"/>
  </w:style>
  <w:style w:type="character" w:customStyle="1" w:styleId="dbname">
    <w:name w:val="dbname"/>
    <w:basedOn w:val="DefaultParagraphFont"/>
    <w:rsid w:val="00221DEE"/>
  </w:style>
  <w:style w:type="character" w:customStyle="1" w:styleId="rightlink">
    <w:name w:val="rightlink"/>
    <w:basedOn w:val="DefaultParagraphFont"/>
    <w:rsid w:val="00221DEE"/>
  </w:style>
  <w:style w:type="character" w:customStyle="1" w:styleId="subject">
    <w:name w:val="subject"/>
    <w:basedOn w:val="DefaultParagraphFont"/>
    <w:rsid w:val="00221DEE"/>
  </w:style>
  <w:style w:type="paragraph" w:customStyle="1" w:styleId="resulttext">
    <w:name w:val="result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howtext">
    <w:name w:val="show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tyle1">
    <w:name w:val="Style1"/>
    <w:basedOn w:val="Normal"/>
    <w:rsid w:val="000213E7"/>
    <w:pPr>
      <w:keepNext/>
      <w:keepLines/>
      <w:numPr>
        <w:numId w:val="11"/>
      </w:numPr>
      <w:tabs>
        <w:tab w:val="clear" w:pos="1247"/>
        <w:tab w:val="clear" w:pos="1814"/>
        <w:tab w:val="clear" w:pos="2381"/>
        <w:tab w:val="clear" w:pos="2948"/>
        <w:tab w:val="clear" w:pos="3515"/>
      </w:tabs>
      <w:spacing w:after="120"/>
      <w:ind w:left="1247" w:firstLine="624"/>
    </w:pPr>
  </w:style>
  <w:style w:type="character" w:customStyle="1" w:styleId="NormalpoolChar">
    <w:name w:val="Normal_pool Char"/>
    <w:link w:val="Normalpool"/>
    <w:locked/>
    <w:rsid w:val="00BB0C53"/>
    <w:rPr>
      <w:lang w:val="fr-FR" w:eastAsia="en-US"/>
    </w:r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iPriority w:val="99"/>
    <w:unhideWhenUsed/>
    <w:rsid w:val="003476D8"/>
    <w:pPr>
      <w:tabs>
        <w:tab w:val="clear" w:pos="1247"/>
        <w:tab w:val="clear" w:pos="1814"/>
        <w:tab w:val="clear" w:pos="2381"/>
        <w:tab w:val="clear" w:pos="2948"/>
        <w:tab w:val="clear" w:pos="3515"/>
      </w:tabs>
      <w:spacing w:before="120" w:after="160" w:line="240" w:lineRule="exact"/>
    </w:pPr>
    <w:rPr>
      <w:szCs w:val="18"/>
      <w:vertAlign w:val="superscript"/>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2639193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468549367">
      <w:bodyDiv w:val="1"/>
      <w:marLeft w:val="0"/>
      <w:marRight w:val="0"/>
      <w:marTop w:val="0"/>
      <w:marBottom w:val="0"/>
      <w:divBdr>
        <w:top w:val="none" w:sz="0" w:space="0" w:color="auto"/>
        <w:left w:val="none" w:sz="0" w:space="0" w:color="auto"/>
        <w:bottom w:val="none" w:sz="0" w:space="0" w:color="auto"/>
        <w:right w:val="none" w:sz="0" w:space="0" w:color="auto"/>
      </w:divBdr>
      <w:divsChild>
        <w:div w:id="1629623314">
          <w:marLeft w:val="0"/>
          <w:marRight w:val="0"/>
          <w:marTop w:val="0"/>
          <w:marBottom w:val="0"/>
          <w:divBdr>
            <w:top w:val="none" w:sz="0" w:space="0" w:color="auto"/>
            <w:left w:val="none" w:sz="0" w:space="0" w:color="auto"/>
            <w:bottom w:val="none" w:sz="0" w:space="0" w:color="auto"/>
            <w:right w:val="none" w:sz="0" w:space="0" w:color="auto"/>
          </w:divBdr>
        </w:div>
      </w:divsChild>
    </w:div>
    <w:div w:id="1619868979">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 w:id="2030835246">
      <w:bodyDiv w:val="1"/>
      <w:marLeft w:val="0"/>
      <w:marRight w:val="0"/>
      <w:marTop w:val="0"/>
      <w:marBottom w:val="0"/>
      <w:divBdr>
        <w:top w:val="none" w:sz="0" w:space="0" w:color="auto"/>
        <w:left w:val="none" w:sz="0" w:space="0" w:color="auto"/>
        <w:bottom w:val="none" w:sz="0" w:space="0" w:color="auto"/>
        <w:right w:val="none" w:sz="0" w:space="0" w:color="auto"/>
      </w:divBdr>
      <w:divsChild>
        <w:div w:id="167506569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09453-39CD-4BA1-AF81-4C7D6849B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4.xml><?xml version="1.0" encoding="utf-8"?>
<ds:datastoreItem xmlns:ds="http://schemas.openxmlformats.org/officeDocument/2006/customXml" ds:itemID="{B733D115-2263-4C75-952D-4BFD3B1D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1478</Words>
  <Characters>8429</Characters>
  <Application>Microsoft Office Word</Application>
  <DocSecurity>0</DocSecurity>
  <Lines>70</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unon</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Pablo Garmon</cp:lastModifiedBy>
  <cp:revision>3</cp:revision>
  <cp:lastPrinted>2020-03-02T13:04:00Z</cp:lastPrinted>
  <dcterms:created xsi:type="dcterms:W3CDTF">2021-01-13T17:06:00Z</dcterms:created>
  <dcterms:modified xsi:type="dcterms:W3CDTF">2021-01-13T17:07:00Z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