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bookmarkStart w:id="0" w:name="_GoBack"/>
            <w:bookmarkEnd w:id="0"/>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4C45EF5B"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Dec.1</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27651DE2" w14:textId="77777777" w:rsidR="001F0056" w:rsidRPr="00815F2E" w:rsidRDefault="00CB2628" w:rsidP="001F0056">
      <w:pPr>
        <w:pStyle w:val="CH1"/>
        <w:rPr>
          <w:i/>
        </w:rPr>
      </w:pPr>
      <w:r w:rsidRPr="00A7082A">
        <w:rPr>
          <w:bCs/>
        </w:rPr>
        <w:tab/>
      </w:r>
      <w:r w:rsidRPr="00A7082A">
        <w:rPr>
          <w:bCs/>
        </w:rPr>
        <w:tab/>
      </w:r>
      <w:bookmarkStart w:id="1" w:name="_Toc7079412"/>
      <w:r w:rsidR="001F0056" w:rsidRPr="00815F2E">
        <w:t>MC-2/1: Secretariat</w:t>
      </w:r>
      <w:bookmarkEnd w:id="1"/>
      <w:r w:rsidR="001F0056" w:rsidRPr="00815F2E">
        <w:t xml:space="preserve"> </w:t>
      </w:r>
    </w:p>
    <w:p w14:paraId="6D382105" w14:textId="77777777" w:rsidR="001F0056" w:rsidRPr="00815F2E" w:rsidRDefault="001F0056" w:rsidP="001F0056">
      <w:pPr>
        <w:pStyle w:val="Normal-pool"/>
        <w:spacing w:after="120"/>
        <w:ind w:left="1247" w:firstLine="624"/>
        <w:rPr>
          <w:i/>
        </w:rPr>
      </w:pPr>
      <w:r w:rsidRPr="00815F2E">
        <w:rPr>
          <w:i/>
        </w:rPr>
        <w:t>The Conference of the Parties,</w:t>
      </w:r>
    </w:p>
    <w:p w14:paraId="1D57A651" w14:textId="77777777" w:rsidR="001F0056" w:rsidRPr="00815F2E" w:rsidRDefault="001F0056" w:rsidP="001F0056">
      <w:pPr>
        <w:pStyle w:val="Normal-pool"/>
        <w:spacing w:after="120"/>
        <w:ind w:left="1247" w:firstLine="624"/>
        <w:rPr>
          <w:i/>
        </w:rPr>
      </w:pPr>
      <w:r w:rsidRPr="00815F2E">
        <w:rPr>
          <w:i/>
        </w:rPr>
        <w:t xml:space="preserve">Recalling </w:t>
      </w:r>
      <w:r w:rsidRPr="00815F2E">
        <w:t>its decision MC-1/11 on the secretariat,</w:t>
      </w:r>
    </w:p>
    <w:p w14:paraId="469441AD" w14:textId="77777777" w:rsidR="001F0056" w:rsidRPr="00815F2E" w:rsidRDefault="001F0056" w:rsidP="001F0056">
      <w:pPr>
        <w:pStyle w:val="Normal-pool"/>
        <w:spacing w:after="120"/>
        <w:ind w:left="1247" w:firstLine="624"/>
        <w:rPr>
          <w:i/>
        </w:rPr>
      </w:pPr>
      <w:r w:rsidRPr="00815F2E">
        <w:rPr>
          <w:i/>
        </w:rPr>
        <w:t xml:space="preserve">Noting </w:t>
      </w:r>
      <w:r w:rsidRPr="00815F2E">
        <w:t>that the Executive Director of the United Nations Environment Programme is performing the secretariat functions, as requested in decision MC-1/11,</w:t>
      </w:r>
    </w:p>
    <w:p w14:paraId="40A851EE" w14:textId="77777777" w:rsidR="001F0056" w:rsidRPr="00815F2E" w:rsidRDefault="001F0056" w:rsidP="001F0056">
      <w:pPr>
        <w:pStyle w:val="Normal-pool"/>
        <w:numPr>
          <w:ilvl w:val="3"/>
          <w:numId w:val="101"/>
        </w:numPr>
        <w:tabs>
          <w:tab w:val="clear" w:pos="1247"/>
          <w:tab w:val="clear" w:pos="1814"/>
          <w:tab w:val="clear" w:pos="2381"/>
          <w:tab w:val="clear" w:pos="2948"/>
          <w:tab w:val="clear" w:pos="3515"/>
          <w:tab w:val="clear" w:pos="4082"/>
          <w:tab w:val="left" w:pos="624"/>
        </w:tabs>
        <w:spacing w:after="120"/>
        <w:ind w:left="1247" w:firstLine="624"/>
      </w:pPr>
      <w:r w:rsidRPr="00815F2E">
        <w:rPr>
          <w:i/>
        </w:rPr>
        <w:t>Decides</w:t>
      </w:r>
      <w:r w:rsidRPr="00815F2E">
        <w:t xml:space="preserve"> to accept the offer of the Government of Switzerland to host the secretariat in Geneva, and welcomes</w:t>
      </w:r>
      <w:r w:rsidRPr="00815F2E">
        <w:rPr>
          <w:i/>
        </w:rPr>
        <w:t xml:space="preserve"> </w:t>
      </w:r>
      <w:r w:rsidRPr="00815F2E">
        <w:t xml:space="preserve">the annual host country contribution of the Government of Switzerland of 1 million Swiss francs, apportioned as established in the financial rules for the Conference of the Parties to the Minamata Convention on Mercury, its subsidiary bodies and the secretariat of the Convention; </w:t>
      </w:r>
    </w:p>
    <w:p w14:paraId="145BE743" w14:textId="77777777" w:rsidR="001F0056" w:rsidRPr="00815F2E" w:rsidRDefault="001F0056" w:rsidP="001F0056">
      <w:pPr>
        <w:pStyle w:val="Normal-pool"/>
        <w:numPr>
          <w:ilvl w:val="3"/>
          <w:numId w:val="101"/>
        </w:numPr>
        <w:tabs>
          <w:tab w:val="clear" w:pos="1247"/>
          <w:tab w:val="clear" w:pos="1814"/>
          <w:tab w:val="clear" w:pos="2381"/>
          <w:tab w:val="clear" w:pos="2948"/>
          <w:tab w:val="clear" w:pos="3515"/>
          <w:tab w:val="clear" w:pos="4082"/>
          <w:tab w:val="left" w:pos="624"/>
        </w:tabs>
        <w:spacing w:after="120"/>
        <w:ind w:left="1247" w:firstLine="624"/>
      </w:pPr>
      <w:r w:rsidRPr="00815F2E">
        <w:rPr>
          <w:i/>
        </w:rPr>
        <w:t xml:space="preserve">Requests </w:t>
      </w:r>
      <w:r w:rsidRPr="00815F2E">
        <w:t>the Executive Director of the United Nations Environment Programme to continue performing the secretariat functions for the Convention through a secretariat of the Minamata Convention located in Geneva.</w:t>
      </w:r>
    </w:p>
    <w:p w14:paraId="74A2DEE9" w14:textId="24C3B9FA" w:rsidR="003F4DA7" w:rsidRPr="00711DBB" w:rsidRDefault="003F4DA7" w:rsidP="001F0056">
      <w:pPr>
        <w:pStyle w:val="CH1"/>
        <w:rPr>
          <w:sz w:val="24"/>
        </w:rPr>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41F6" w14:textId="77777777" w:rsidR="005C2293" w:rsidRDefault="005C2293">
      <w:r>
        <w:separator/>
      </w:r>
    </w:p>
  </w:endnote>
  <w:endnote w:type="continuationSeparator" w:id="0">
    <w:p w14:paraId="78ABCFE8" w14:textId="77777777" w:rsidR="005C2293" w:rsidRDefault="005C2293">
      <w:r>
        <w:continuationSeparator/>
      </w:r>
    </w:p>
  </w:endnote>
  <w:endnote w:type="continuationNotice" w:id="1">
    <w:p w14:paraId="16E328E8" w14:textId="77777777" w:rsidR="005C2293" w:rsidRDefault="005C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5372" w14:textId="77777777" w:rsidR="005C2293" w:rsidRPr="008D1ED6" w:rsidRDefault="005C2293"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6ED1D7C6" w14:textId="77777777" w:rsidR="005C2293" w:rsidRDefault="005C2293">
      <w:r>
        <w:continuationSeparator/>
      </w:r>
    </w:p>
  </w:footnote>
  <w:footnote w:type="continuationNotice" w:id="1">
    <w:p w14:paraId="25CDFE27" w14:textId="77777777" w:rsidR="005C2293" w:rsidRDefault="005C2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DF52B7A"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DC9294B"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3E36BFC9"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57B5EA1"/>
    <w:multiLevelType w:val="hybridMultilevel"/>
    <w:tmpl w:val="2638BFC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9"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3"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6"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2"/>
  </w:num>
  <w:num w:numId="3">
    <w:abstractNumId w:val="27"/>
  </w:num>
  <w:num w:numId="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2"/>
  </w:num>
  <w:num w:numId="9">
    <w:abstractNumId w:val="17"/>
  </w:num>
  <w:num w:numId="10">
    <w:abstractNumId w:val="36"/>
  </w:num>
  <w:num w:numId="11">
    <w:abstractNumId w:val="3"/>
  </w:num>
  <w:num w:numId="12">
    <w:abstractNumId w:val="63"/>
  </w:num>
  <w:num w:numId="13">
    <w:abstractNumId w:val="44"/>
  </w:num>
  <w:num w:numId="14">
    <w:abstractNumId w:val="29"/>
  </w:num>
  <w:num w:numId="15">
    <w:abstractNumId w:val="8"/>
  </w:num>
  <w:num w:numId="16">
    <w:abstractNumId w:val="59"/>
  </w:num>
  <w:num w:numId="1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8"/>
  </w:num>
  <w:num w:numId="19">
    <w:abstractNumId w:val="18"/>
  </w:num>
  <w:num w:numId="20">
    <w:abstractNumId w:val="50"/>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0"/>
  </w:num>
  <w:num w:numId="28">
    <w:abstractNumId w:val="56"/>
  </w:num>
  <w:num w:numId="29">
    <w:abstractNumId w:val="30"/>
  </w:num>
  <w:num w:numId="30">
    <w:abstractNumId w:val="52"/>
  </w:num>
  <w:num w:numId="31">
    <w:abstractNumId w:val="46"/>
  </w:num>
  <w:num w:numId="32">
    <w:abstractNumId w:val="64"/>
  </w:num>
  <w:num w:numId="33">
    <w:abstractNumId w:val="33"/>
  </w:num>
  <w:num w:numId="34">
    <w:abstractNumId w:val="24"/>
  </w:num>
  <w:num w:numId="35">
    <w:abstractNumId w:val="9"/>
  </w:num>
  <w:num w:numId="36">
    <w:abstractNumId w:val="45"/>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43"/>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3"/>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7"/>
  </w:num>
  <w:num w:numId="47">
    <w:abstractNumId w:val="21"/>
  </w:num>
  <w:num w:numId="48">
    <w:abstractNumId w:val="0"/>
  </w:num>
  <w:num w:numId="49">
    <w:abstractNumId w:val="39"/>
  </w:num>
  <w:num w:numId="50">
    <w:abstractNumId w:val="41"/>
  </w:num>
  <w:num w:numId="51">
    <w:abstractNumId w:val="40"/>
  </w:num>
  <w:num w:numId="52">
    <w:abstractNumId w:val="47"/>
  </w:num>
  <w:num w:numId="53">
    <w:abstractNumId w:val="49"/>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1"/>
  </w:num>
  <w:num w:numId="58">
    <w:abstractNumId w:val="38"/>
  </w:num>
  <w:num w:numId="59">
    <w:abstractNumId w:val="5"/>
  </w:num>
  <w:num w:numId="60">
    <w:abstractNumId w:val="35"/>
  </w:num>
  <w:num w:numId="61">
    <w:abstractNumId w:val="16"/>
  </w:num>
  <w:num w:numId="62">
    <w:abstractNumId w:val="22"/>
  </w:num>
  <w:num w:numId="63">
    <w:abstractNumId w:val="34"/>
  </w:num>
  <w:num w:numId="64">
    <w:abstractNumId w:val="4"/>
  </w:num>
  <w:num w:numId="6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2293"/>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3E17"/>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F568C2B8-EB52-4DAE-997A-4EC4D3D1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1204</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