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76158542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F55458">
              <w:rPr>
                <w:lang w:val="en-GB"/>
              </w:rPr>
              <w:t>1</w:t>
            </w:r>
            <w:r w:rsidR="006C310F">
              <w:rPr>
                <w:lang w:val="en-GB"/>
              </w:rPr>
              <w:t>/</w:t>
            </w:r>
            <w:r w:rsidR="006004E9">
              <w:rPr>
                <w:lang w:val="en-GB"/>
              </w:rPr>
              <w:t>Dec.</w:t>
            </w:r>
            <w:r w:rsidR="001028DB">
              <w:rPr>
                <w:lang w:val="en-GB"/>
              </w:rPr>
              <w:t>9</w:t>
            </w:r>
          </w:p>
        </w:tc>
      </w:tr>
      <w:tr w:rsidR="00032E4E" w:rsidRPr="00AB4DCD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34B51710" w14:textId="77777777" w:rsidR="00F55458" w:rsidRPr="00711F4E" w:rsidRDefault="00F55458" w:rsidP="00F55458">
            <w:pPr>
              <w:spacing w:before="120"/>
              <w:rPr>
                <w:lang w:val="en-US"/>
              </w:rPr>
            </w:pPr>
            <w:proofErr w:type="spellStart"/>
            <w:r w:rsidRPr="00200ABD">
              <w:rPr>
                <w:lang w:val="en-GB"/>
              </w:rPr>
              <w:t>Distr</w:t>
            </w:r>
            <w:proofErr w:type="spellEnd"/>
            <w:r w:rsidRPr="00711F4E">
              <w:rPr>
                <w:lang w:val="en-US"/>
              </w:rPr>
              <w:t xml:space="preserve">.: </w:t>
            </w:r>
            <w:r>
              <w:rPr>
                <w:lang w:val="en-GB"/>
              </w:rPr>
              <w:t>General</w:t>
            </w:r>
          </w:p>
          <w:p w14:paraId="2242A1D9" w14:textId="77777777" w:rsidR="00F55458" w:rsidRPr="00711F4E" w:rsidRDefault="00F55458" w:rsidP="00F554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711F4E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November</w:t>
            </w:r>
            <w:r w:rsidRPr="00711F4E">
              <w:rPr>
                <w:lang w:val="en-US"/>
              </w:rPr>
              <w:t xml:space="preserve"> 2017</w:t>
            </w:r>
          </w:p>
          <w:p w14:paraId="6F78AAFF" w14:textId="7147BDEC" w:rsidR="00032E4E" w:rsidRPr="00826AF3" w:rsidRDefault="00F55458" w:rsidP="00F5545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711F4E">
              <w:rPr>
                <w:lang w:val="en-US"/>
              </w:rPr>
              <w:t xml:space="preserve"> </w:t>
            </w:r>
            <w:r w:rsidRPr="00711F4E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711F4E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03B099DF" w:rsidR="00E976AB" w:rsidRPr="00180CBF" w:rsidRDefault="00180CBF" w:rsidP="00180CBF">
      <w:pPr>
        <w:rPr>
          <w:b/>
          <w:lang w:val="en-US"/>
        </w:rPr>
      </w:pPr>
      <w:r>
        <w:rPr>
          <w:b/>
        </w:rPr>
        <w:t>Первое совещание</w:t>
      </w:r>
    </w:p>
    <w:p w14:paraId="66774071" w14:textId="77777777" w:rsidR="00F55458" w:rsidRPr="007A48D4" w:rsidRDefault="00F55458" w:rsidP="00F55458">
      <w:r w:rsidRPr="00A54CB9">
        <w:t>Женева, 24</w:t>
      </w:r>
      <w:r>
        <w:t>-</w:t>
      </w:r>
      <w:r w:rsidRPr="00A54CB9">
        <w:t>29 сентября 2017 года</w:t>
      </w:r>
    </w:p>
    <w:p w14:paraId="0C7B2360" w14:textId="77777777" w:rsidR="00AB4DCD" w:rsidRDefault="00AB4DCD" w:rsidP="00AB4DCD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505854135"/>
      <w:r>
        <w:rPr>
          <w:b/>
          <w:bCs/>
          <w:sz w:val="28"/>
          <w:szCs w:val="28"/>
        </w:rPr>
        <w:t xml:space="preserve">Решение принятое на первом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21074807" w14:textId="77777777" w:rsidR="001028DB" w:rsidRPr="001028DB" w:rsidRDefault="001028DB" w:rsidP="001028DB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outlineLvl w:val="0"/>
        <w:rPr>
          <w:b/>
          <w:sz w:val="24"/>
        </w:rPr>
      </w:pPr>
      <w:bookmarkStart w:id="3" w:name="_GoBack"/>
      <w:bookmarkEnd w:id="3"/>
      <w:r w:rsidRPr="001028DB">
        <w:rPr>
          <w:b/>
          <w:sz w:val="24"/>
        </w:rPr>
        <w:t>МК-1/9: Формирование механизмов в отношении оценки эффективности</w:t>
      </w:r>
      <w:bookmarkEnd w:id="2"/>
    </w:p>
    <w:p w14:paraId="2F62FC67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r w:rsidRPr="001028DB">
        <w:rPr>
          <w:i/>
        </w:rPr>
        <w:t>Конференция Сторон,</w:t>
      </w:r>
    </w:p>
    <w:p w14:paraId="0379B651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028DB">
        <w:rPr>
          <w:i/>
        </w:rPr>
        <w:t>признавая</w:t>
      </w:r>
      <w:r w:rsidRPr="001028DB">
        <w:t xml:space="preserve"> настоятельную необходимость в создании системы для оценки эффективности </w:t>
      </w:r>
      <w:proofErr w:type="spellStart"/>
      <w:r w:rsidRPr="001028DB">
        <w:t>Минаматской</w:t>
      </w:r>
      <w:proofErr w:type="spellEnd"/>
      <w:r w:rsidRPr="001028DB">
        <w:t xml:space="preserve"> конвенции о ртути, включающих в себя стратегический, экономически эффективный подход, который обеспечивает наличие надлежащих и достаточных данных,</w:t>
      </w:r>
    </w:p>
    <w:p w14:paraId="6F53EC0F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028DB">
        <w:rPr>
          <w:i/>
        </w:rPr>
        <w:t>принимая к сведению</w:t>
      </w:r>
      <w:r w:rsidRPr="001028DB">
        <w:t xml:space="preserve"> компиляцию информации, подготовленную в рамках процесса работы Межправительственного комитета для ведения переговоров по подготовке имеющего обязательную юридическую силу глобального документа по ртути,</w:t>
      </w:r>
    </w:p>
    <w:p w14:paraId="0193E2DB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028DB">
        <w:rPr>
          <w:i/>
        </w:rPr>
        <w:t xml:space="preserve">признавая </w:t>
      </w:r>
      <w:r w:rsidRPr="001028DB">
        <w:t xml:space="preserve">глобальные оценки ртути, испрошенные Советом управляющих Программы Организации Объединенных Наций по окружающей среде, и первоначальные оценки в рамках </w:t>
      </w:r>
      <w:proofErr w:type="spellStart"/>
      <w:r w:rsidRPr="001028DB">
        <w:t>Минаматской</w:t>
      </w:r>
      <w:proofErr w:type="spellEnd"/>
      <w:r w:rsidRPr="001028DB">
        <w:t xml:space="preserve"> конвенции в качестве важных источников информации, способствующих проведению оценки эффективности, </w:t>
      </w:r>
    </w:p>
    <w:p w14:paraId="21729226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1028DB">
        <w:t>1.</w:t>
      </w:r>
      <w:r w:rsidRPr="001028DB">
        <w:tab/>
      </w:r>
      <w:r w:rsidRPr="001028DB">
        <w:rPr>
          <w:i/>
        </w:rPr>
        <w:t xml:space="preserve">принимает </w:t>
      </w:r>
      <w:r w:rsidRPr="001028DB">
        <w:t>приложения I и II к настоящему решению;</w:t>
      </w:r>
    </w:p>
    <w:p w14:paraId="435D8430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1028DB">
        <w:t>2.</w:t>
      </w:r>
      <w:r w:rsidRPr="001028DB">
        <w:tab/>
      </w:r>
      <w:r w:rsidRPr="001028DB">
        <w:rPr>
          <w:i/>
        </w:rPr>
        <w:t>просит</w:t>
      </w:r>
      <w:r w:rsidRPr="001028DB">
        <w:t xml:space="preserve"> секретариат оказать поддержку деятельности, предусмотренной этими двумя приложениями.</w:t>
      </w:r>
    </w:p>
    <w:p w14:paraId="75A4F63F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4"/>
          <w:szCs w:val="24"/>
        </w:rPr>
      </w:pPr>
      <w:r w:rsidRPr="001028DB">
        <w:rPr>
          <w:b/>
          <w:sz w:val="24"/>
          <w:szCs w:val="24"/>
        </w:rPr>
        <w:t>Приложение I к решению МК-1/9</w:t>
      </w:r>
    </w:p>
    <w:p w14:paraId="5487B816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4"/>
          <w:szCs w:val="24"/>
        </w:rPr>
      </w:pPr>
      <w:r w:rsidRPr="001028DB">
        <w:rPr>
          <w:b/>
          <w:sz w:val="24"/>
          <w:szCs w:val="24"/>
        </w:rPr>
        <w:t xml:space="preserve">Проект плана деятельности для формирования механизмов обеспечения Конференции Сторон сравнимыми данными мониторинга и элементов системы оценки эффективности в соответствии со статьей 22 </w:t>
      </w:r>
      <w:proofErr w:type="spellStart"/>
      <w:r w:rsidRPr="001028DB">
        <w:rPr>
          <w:b/>
          <w:sz w:val="24"/>
          <w:szCs w:val="24"/>
        </w:rPr>
        <w:t>Минаматской</w:t>
      </w:r>
      <w:proofErr w:type="spellEnd"/>
      <w:r w:rsidRPr="001028DB">
        <w:rPr>
          <w:b/>
          <w:sz w:val="24"/>
          <w:szCs w:val="24"/>
        </w:rPr>
        <w:t xml:space="preserve"> конвенции</w:t>
      </w:r>
    </w:p>
    <w:tbl>
      <w:tblPr>
        <w:tblW w:w="833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28"/>
        <w:gridCol w:w="2507"/>
      </w:tblGrid>
      <w:tr w:rsidR="001028DB" w:rsidRPr="001028DB" w14:paraId="660F10F3" w14:textId="77777777" w:rsidTr="00E65C70">
        <w:trPr>
          <w:cantSplit/>
          <w:trHeight w:val="227"/>
          <w:tblHeader/>
          <w:jc w:val="right"/>
        </w:trPr>
        <w:tc>
          <w:tcPr>
            <w:tcW w:w="582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75ADFEBA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i/>
                <w:color w:val="000000"/>
                <w:sz w:val="18"/>
                <w:szCs w:val="18"/>
                <w:u w:color="000000"/>
                <w:lang w:eastAsia="zh-CN"/>
              </w:rPr>
            </w:pPr>
            <w:r w:rsidRPr="001028DB">
              <w:rPr>
                <w:rFonts w:eastAsia="Arial Unicode MS"/>
                <w:i/>
                <w:color w:val="000000"/>
                <w:sz w:val="18"/>
                <w:szCs w:val="18"/>
                <w:u w:color="000000"/>
                <w:lang w:eastAsia="zh-CN"/>
              </w:rPr>
              <w:t>Мероприятие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2F122480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i/>
                <w:color w:val="000000"/>
                <w:sz w:val="18"/>
                <w:szCs w:val="18"/>
                <w:u w:color="000000"/>
                <w:lang w:eastAsia="zh-CN"/>
              </w:rPr>
            </w:pPr>
            <w:r w:rsidRPr="001028DB">
              <w:rPr>
                <w:rFonts w:eastAsia="Arial Unicode MS"/>
                <w:i/>
                <w:color w:val="000000"/>
                <w:sz w:val="18"/>
                <w:szCs w:val="18"/>
                <w:u w:color="000000"/>
                <w:lang w:eastAsia="zh-CN"/>
              </w:rPr>
              <w:t>Временн</w:t>
            </w:r>
            <w:r w:rsidRPr="001028DB">
              <w:rPr>
                <w:rFonts w:eastAsia="Arial Unicode MS"/>
                <w:b/>
                <w:i/>
                <w:color w:val="000000"/>
                <w:sz w:val="18"/>
                <w:szCs w:val="18"/>
                <w:u w:color="000000"/>
                <w:lang w:eastAsia="zh-CN"/>
              </w:rPr>
              <w:t>ы</w:t>
            </w:r>
            <w:r w:rsidRPr="001028DB">
              <w:rPr>
                <w:rFonts w:eastAsia="Arial Unicode MS"/>
                <w:i/>
                <w:color w:val="000000"/>
                <w:sz w:val="18"/>
                <w:szCs w:val="18"/>
                <w:u w:color="000000"/>
                <w:lang w:eastAsia="zh-CN"/>
              </w:rPr>
              <w:t>е рамки</w:t>
            </w:r>
          </w:p>
        </w:tc>
      </w:tr>
      <w:tr w:rsidR="001028DB" w:rsidRPr="001028DB" w14:paraId="1D02228E" w14:textId="77777777" w:rsidTr="00E65C70">
        <w:trPr>
          <w:cantSplit/>
          <w:trHeight w:val="227"/>
          <w:jc w:val="right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6B0A1AEF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sz w:val="18"/>
                <w:szCs w:val="18"/>
                <w:u w:color="000000"/>
                <w:lang w:eastAsia="zh-CN"/>
              </w:rPr>
            </w:pPr>
            <w:r w:rsidRPr="001028DB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Секретариату представляются кандидатуры для специальной группы экспертов через членов Бюро Конференции Сторон.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7DB828CC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1028DB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1 ноября 2017 года</w:t>
            </w:r>
          </w:p>
        </w:tc>
      </w:tr>
      <w:tr w:rsidR="001028DB" w:rsidRPr="001028DB" w14:paraId="54C71F5B" w14:textId="77777777" w:rsidTr="00E65C70">
        <w:trPr>
          <w:cantSplit/>
          <w:trHeight w:val="227"/>
          <w:jc w:val="right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75F47295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sz w:val="18"/>
                <w:szCs w:val="18"/>
                <w:u w:color="000000"/>
                <w:lang w:eastAsia="zh-CN"/>
              </w:rPr>
            </w:pPr>
            <w:r w:rsidRPr="001028DB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Специальная группа экспертов проводит очное совещание, опираясь на представленную ранее и обобщенную секретариатом информацию и принимая во внимание работу, проводимую в рамках других многосторонних природоохранных соглашений, включая Стокгольмскую конвенцию.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3DDCA588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1028DB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Январь/февраль 2018 года</w:t>
            </w:r>
          </w:p>
        </w:tc>
      </w:tr>
      <w:tr w:rsidR="001028DB" w:rsidRPr="001028DB" w14:paraId="4D496E07" w14:textId="77777777" w:rsidTr="00E65C70">
        <w:trPr>
          <w:cantSplit/>
          <w:trHeight w:val="227"/>
          <w:jc w:val="right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760AD4CD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sz w:val="18"/>
                <w:szCs w:val="18"/>
                <w:u w:color="000000"/>
                <w:lang w:eastAsia="zh-CN"/>
              </w:rPr>
            </w:pPr>
            <w:r w:rsidRPr="001028DB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lastRenderedPageBreak/>
              <w:t>Специальная группа экспертов готовит проект доклада, включая общее описание, план и элементы системы оценки эффективности, и секретариат распространяет проект доклада для получения замечаний.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1892A826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1028DB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15 мая 2018 года</w:t>
            </w:r>
          </w:p>
        </w:tc>
      </w:tr>
      <w:tr w:rsidR="001028DB" w:rsidRPr="001028DB" w14:paraId="494FC009" w14:textId="77777777" w:rsidTr="00E65C70">
        <w:trPr>
          <w:cantSplit/>
          <w:trHeight w:val="227"/>
          <w:jc w:val="right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150EF38A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sz w:val="18"/>
                <w:szCs w:val="18"/>
                <w:u w:color="000000"/>
                <w:lang w:eastAsia="zh-CN"/>
              </w:rPr>
            </w:pPr>
            <w:r w:rsidRPr="001028DB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Специальная группа экспертов пересматривает и окончательно дорабатывает доклад, включая общее описание, план и элементы системы оценки эффективности, и секретариат направляет его второму совещанию Конференции Сторон для рассмотрения.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79A1A54F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</w:pPr>
            <w:r w:rsidRPr="001028DB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20 июля 2018 года</w:t>
            </w:r>
          </w:p>
        </w:tc>
      </w:tr>
      <w:tr w:rsidR="001028DB" w:rsidRPr="001028DB" w14:paraId="328D899B" w14:textId="77777777" w:rsidTr="00E65C70">
        <w:trPr>
          <w:cantSplit/>
          <w:trHeight w:val="227"/>
          <w:jc w:val="right"/>
        </w:trPr>
        <w:tc>
          <w:tcPr>
            <w:tcW w:w="58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1386E852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sz w:val="18"/>
                <w:szCs w:val="18"/>
                <w:u w:color="000000"/>
                <w:lang w:eastAsia="x-none"/>
              </w:rPr>
            </w:pPr>
            <w:r w:rsidRPr="001028DB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Окончательный доклад рассматривается Конференцией Сторон на ее втором совещании.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80" w:type="dxa"/>
            </w:tcMar>
          </w:tcPr>
          <w:p w14:paraId="398B5D78" w14:textId="77777777" w:rsidR="001028DB" w:rsidRPr="001028DB" w:rsidRDefault="001028DB" w:rsidP="001028DB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Arial Unicode MS"/>
                <w:color w:val="000000"/>
                <w:sz w:val="18"/>
                <w:szCs w:val="18"/>
                <w:u w:color="000000"/>
                <w:lang w:eastAsia="x-none"/>
              </w:rPr>
            </w:pPr>
            <w:r w:rsidRPr="001028DB">
              <w:rPr>
                <w:rFonts w:eastAsia="Arial Unicode MS"/>
                <w:color w:val="000000"/>
                <w:sz w:val="18"/>
                <w:szCs w:val="18"/>
                <w:u w:color="000000"/>
                <w:lang w:eastAsia="zh-CN"/>
              </w:rPr>
              <w:t>Ноябрь 2018 года (предварительный срок проведения второго совещания Конференции Сторон)</w:t>
            </w:r>
          </w:p>
        </w:tc>
      </w:tr>
    </w:tbl>
    <w:p w14:paraId="7AE4BDF2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 w:after="120"/>
        <w:ind w:left="1247"/>
        <w:rPr>
          <w:b/>
          <w:sz w:val="24"/>
          <w:szCs w:val="24"/>
        </w:rPr>
      </w:pPr>
      <w:r w:rsidRPr="001028DB">
        <w:rPr>
          <w:b/>
          <w:sz w:val="24"/>
          <w:szCs w:val="24"/>
        </w:rPr>
        <w:t>Приложение II к решению МК-1/9</w:t>
      </w:r>
    </w:p>
    <w:p w14:paraId="3457E76C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284"/>
        <w:rPr>
          <w:b/>
          <w:sz w:val="24"/>
          <w:szCs w:val="24"/>
        </w:rPr>
      </w:pPr>
      <w:r w:rsidRPr="001028DB">
        <w:rPr>
          <w:b/>
          <w:sz w:val="24"/>
          <w:szCs w:val="24"/>
        </w:rPr>
        <w:t xml:space="preserve">Проект положения о специальной группе экспертов по вопросам механизмов обеспечения Конференции Сторон сравнимыми данными мониторинга и элементов системы оценки эффективности в соответствии со статьей 22 </w:t>
      </w:r>
      <w:proofErr w:type="spellStart"/>
      <w:r w:rsidRPr="001028DB">
        <w:rPr>
          <w:b/>
          <w:sz w:val="24"/>
          <w:szCs w:val="24"/>
        </w:rPr>
        <w:t>Минаматской</w:t>
      </w:r>
      <w:proofErr w:type="spellEnd"/>
      <w:r w:rsidRPr="001028DB">
        <w:rPr>
          <w:b/>
          <w:sz w:val="24"/>
          <w:szCs w:val="24"/>
        </w:rPr>
        <w:t xml:space="preserve"> конвенции</w:t>
      </w:r>
    </w:p>
    <w:p w14:paraId="2B55F37A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1028DB">
        <w:rPr>
          <w:b/>
          <w:sz w:val="28"/>
          <w:szCs w:val="28"/>
        </w:rPr>
        <w:tab/>
        <w:t>I.</w:t>
      </w:r>
      <w:r w:rsidRPr="001028DB">
        <w:rPr>
          <w:b/>
          <w:sz w:val="28"/>
          <w:szCs w:val="28"/>
        </w:rPr>
        <w:tab/>
        <w:t>Мандат</w:t>
      </w:r>
    </w:p>
    <w:p w14:paraId="1B6A4F9D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1028DB">
        <w:t>Конференция Сторон настоящим учреждает специальную группу экспертов для:</w:t>
      </w:r>
    </w:p>
    <w:p w14:paraId="587CE7AA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1028DB">
        <w:t>а)</w:t>
      </w:r>
      <w:r w:rsidRPr="001028DB">
        <w:tab/>
        <w:t>разработки механизмов мониторинга, принимая во внимание опыт других многосторонних природоохранных соглашений, включая Стокгольмскую конвенцию, для рассмотрения Конференцией Сторон на ее втором совещании, в том числе:</w:t>
      </w:r>
    </w:p>
    <w:p w14:paraId="4AD05659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</w:pPr>
      <w:r w:rsidRPr="001028DB">
        <w:t>i)</w:t>
      </w:r>
      <w:r w:rsidRPr="001028DB">
        <w:tab/>
        <w:t>обзор видов данных, которые могут сравниваться на глобальной основе, а также их наличия;</w:t>
      </w:r>
    </w:p>
    <w:p w14:paraId="358D7C42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</w:pPr>
      <w:proofErr w:type="spellStart"/>
      <w:r w:rsidRPr="001028DB">
        <w:t>ii</w:t>
      </w:r>
      <w:proofErr w:type="spellEnd"/>
      <w:r w:rsidRPr="001028DB">
        <w:t>)</w:t>
      </w:r>
      <w:r w:rsidRPr="001028DB">
        <w:tab/>
        <w:t>проект плана, предусматривающего интеграцию сравнимых результатов для мониторинга в будущем, решение о проведении которого могут принять страны и заинтересованные стороны; и в рамках этой работы:</w:t>
      </w:r>
    </w:p>
    <w:p w14:paraId="0FE4C759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743" w:hanging="624"/>
      </w:pPr>
      <w:r w:rsidRPr="001028DB">
        <w:t>a.</w:t>
      </w:r>
      <w:r w:rsidRPr="001028DB">
        <w:tab/>
        <w:t>обзора информации о существующих программах мониторинга, в том числе на основе информации, представленной секретариату правительствами и межправительственными и неправительственными организациями, и о других имеющихся программах;</w:t>
      </w:r>
    </w:p>
    <w:p w14:paraId="56C04CDD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743" w:hanging="624"/>
      </w:pPr>
      <w:r w:rsidRPr="001028DB">
        <w:t>b.</w:t>
      </w:r>
      <w:r w:rsidRPr="001028DB">
        <w:tab/>
        <w:t xml:space="preserve">оценки того, в какой степени информация, рассмотренная в соответствии с пунктом a) </w:t>
      </w:r>
      <w:r w:rsidRPr="001028DB">
        <w:rPr>
          <w:lang w:val="en-US"/>
        </w:rPr>
        <w:t>ii</w:t>
      </w:r>
      <w:r w:rsidRPr="001028DB">
        <w:t xml:space="preserve">) </w:t>
      </w:r>
      <w:r w:rsidRPr="001028DB">
        <w:rPr>
          <w:lang w:val="en-US"/>
        </w:rPr>
        <w:t>a</w:t>
      </w:r>
      <w:r w:rsidRPr="001028DB">
        <w:t>., соответствует потребностям в мониторинге, изложенным в пункте 2 статьи 22 Конвенции, и подготовки на этой основе вариантов повышения сопоставимости и полноты рассматриваемой информации;</w:t>
      </w:r>
    </w:p>
    <w:p w14:paraId="2A51A895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743" w:hanging="624"/>
      </w:pPr>
      <w:r w:rsidRPr="001028DB">
        <w:t>c.</w:t>
      </w:r>
      <w:r w:rsidRPr="001028DB">
        <w:tab/>
        <w:t>учета экономической эффективности, практичности, осуществимости и устойчивости, глобального охвата и регионального потенциала в ходе выявления возможностей для дальнейшего совершенствования мониторинга;</w:t>
      </w:r>
    </w:p>
    <w:p w14:paraId="19BD1DFE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743" w:hanging="624"/>
      </w:pPr>
      <w:r w:rsidRPr="001028DB">
        <w:t>d.</w:t>
      </w:r>
      <w:r w:rsidRPr="001028DB">
        <w:tab/>
        <w:t>выявления имеющихся возможностей в области моделирования для оценки изменений глобальных уровней ртути в различных средах и между ними;</w:t>
      </w:r>
    </w:p>
    <w:p w14:paraId="07346627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743" w:hanging="624"/>
      </w:pPr>
      <w:r w:rsidRPr="001028DB">
        <w:t>e.</w:t>
      </w:r>
      <w:r w:rsidRPr="001028DB">
        <w:tab/>
        <w:t xml:space="preserve">выявления источников данных, которые могут использоваться для установления базового уровня; </w:t>
      </w:r>
    </w:p>
    <w:p w14:paraId="003FA796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743" w:hanging="624"/>
      </w:pPr>
      <w:r w:rsidRPr="001028DB">
        <w:t>f.</w:t>
      </w:r>
      <w:r w:rsidRPr="001028DB">
        <w:tab/>
        <w:t>определения того, каким образом мероприятия в области мониторинга могут способствовать разработке системы оценки эффективности;</w:t>
      </w:r>
    </w:p>
    <w:p w14:paraId="250CC890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1028DB">
        <w:t>b)</w:t>
      </w:r>
      <w:r w:rsidRPr="001028DB">
        <w:tab/>
        <w:t xml:space="preserve">разработки элементов системы оценки эффективности, принимая во внимание опыт других многосторонних природоохранных соглашений, включая Стокгольмскую </w:t>
      </w:r>
      <w:r w:rsidRPr="001028DB">
        <w:lastRenderedPageBreak/>
        <w:t>конвенцию, для рассмотрения Конференцией Сторон на ее втором совещании, в том числе путем:</w:t>
      </w:r>
    </w:p>
    <w:p w14:paraId="7676F016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</w:pPr>
      <w:r w:rsidRPr="001028DB">
        <w:t>i)</w:t>
      </w:r>
      <w:r w:rsidRPr="001028DB">
        <w:tab/>
        <w:t>определения мер, необходимых для проведения оценки эффективности;</w:t>
      </w:r>
    </w:p>
    <w:p w14:paraId="4BE577EC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</w:pPr>
      <w:proofErr w:type="spellStart"/>
      <w:r w:rsidRPr="001028DB">
        <w:t>ii</w:t>
      </w:r>
      <w:proofErr w:type="spellEnd"/>
      <w:r w:rsidRPr="001028DB">
        <w:t>)</w:t>
      </w:r>
      <w:r w:rsidRPr="001028DB">
        <w:tab/>
        <w:t>внесения предложения об организации процесса (графике) планирования оценки эффективности;</w:t>
      </w:r>
    </w:p>
    <w:p w14:paraId="3D36835C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</w:pPr>
      <w:proofErr w:type="spellStart"/>
      <w:r w:rsidRPr="001028DB">
        <w:t>iii</w:t>
      </w:r>
      <w:proofErr w:type="spellEnd"/>
      <w:r w:rsidRPr="001028DB">
        <w:t>)</w:t>
      </w:r>
      <w:r w:rsidRPr="001028DB">
        <w:tab/>
        <w:t>определения механизмов проведения оценки эффективности;</w:t>
      </w:r>
    </w:p>
    <w:p w14:paraId="6F5A261A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</w:pPr>
      <w:proofErr w:type="spellStart"/>
      <w:r w:rsidRPr="001028DB">
        <w:t>iv</w:t>
      </w:r>
      <w:proofErr w:type="spellEnd"/>
      <w:r w:rsidRPr="001028DB">
        <w:t>)</w:t>
      </w:r>
      <w:r w:rsidRPr="001028DB">
        <w:tab/>
        <w:t>подготовки технического задания для комитета, занимающегося подготовкой первой оценки эффективности;</w:t>
      </w:r>
    </w:p>
    <w:p w14:paraId="7074B0CC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</w:pPr>
      <w:r w:rsidRPr="001028DB">
        <w:t>v)</w:t>
      </w:r>
      <w:r w:rsidRPr="001028DB">
        <w:tab/>
        <w:t>оценки возможных подходов к разработке показателей результативности;</w:t>
      </w:r>
    </w:p>
    <w:p w14:paraId="47AF7DF7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1028DB">
        <w:t>с)</w:t>
      </w:r>
      <w:r w:rsidRPr="001028DB">
        <w:tab/>
        <w:t>подготовки доклада о своей работе для представления Конференции Сторон для рассмотрения на ее втором совещании, включая рекомендации относительно механизмов мониторинга и оценки эффективности.</w:t>
      </w:r>
    </w:p>
    <w:p w14:paraId="32805050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1028DB">
        <w:rPr>
          <w:b/>
          <w:sz w:val="28"/>
          <w:szCs w:val="28"/>
        </w:rPr>
        <w:tab/>
        <w:t>II.</w:t>
      </w:r>
      <w:r w:rsidRPr="001028DB">
        <w:rPr>
          <w:b/>
          <w:sz w:val="28"/>
          <w:szCs w:val="28"/>
        </w:rPr>
        <w:tab/>
        <w:t>Членский состав</w:t>
      </w:r>
    </w:p>
    <w:p w14:paraId="7F95CFE5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1028DB">
        <w:t>Специальная группа экспертов будет состоять из 25 назначенных правительствами экспертов, отобранных из регионов следующим образом:</w:t>
      </w:r>
    </w:p>
    <w:p w14:paraId="3155854B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1028DB">
        <w:t>каждый регион должен назначить не менее трех представителей, обладающих экспертными знаниями в области механизмов мониторинга, и не менее одного представителя, обладающего экспертными знаниями в области оценки эффективности:</w:t>
      </w:r>
    </w:p>
    <w:p w14:paraId="38E766E3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946"/>
        </w:tabs>
        <w:spacing w:after="120"/>
        <w:ind w:left="1871"/>
      </w:pPr>
      <w:r w:rsidRPr="001028DB">
        <w:t>государства Африки:</w:t>
      </w:r>
      <w:r w:rsidRPr="001028DB">
        <w:tab/>
        <w:t>5</w:t>
      </w:r>
    </w:p>
    <w:p w14:paraId="2062E7BC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946"/>
        </w:tabs>
        <w:spacing w:after="120"/>
        <w:ind w:left="1871"/>
      </w:pPr>
      <w:r w:rsidRPr="001028DB">
        <w:t>государства Азии и Тихого океана:</w:t>
      </w:r>
      <w:r w:rsidRPr="001028DB">
        <w:tab/>
        <w:t>5</w:t>
      </w:r>
    </w:p>
    <w:p w14:paraId="0D60E5E6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946"/>
        </w:tabs>
        <w:spacing w:after="120"/>
        <w:ind w:left="1871"/>
      </w:pPr>
      <w:r w:rsidRPr="001028DB">
        <w:t>государства Центральной и Восточной Европы:</w:t>
      </w:r>
      <w:r w:rsidRPr="001028DB">
        <w:tab/>
        <w:t>5</w:t>
      </w:r>
    </w:p>
    <w:p w14:paraId="596070C9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946"/>
        </w:tabs>
        <w:spacing w:after="120"/>
        <w:ind w:left="1871"/>
      </w:pPr>
      <w:r w:rsidRPr="001028DB">
        <w:t>государства Латинской Америки и Карибского бассейна:</w:t>
      </w:r>
      <w:r w:rsidRPr="001028DB">
        <w:tab/>
        <w:t>5</w:t>
      </w:r>
    </w:p>
    <w:p w14:paraId="63D3ACC1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946"/>
        </w:tabs>
        <w:spacing w:after="120"/>
        <w:ind w:left="1871"/>
      </w:pPr>
      <w:r w:rsidRPr="001028DB">
        <w:t>государства Западной Европы и другие государства:</w:t>
      </w:r>
      <w:r w:rsidRPr="001028DB">
        <w:tab/>
        <w:t>5.</w:t>
      </w:r>
    </w:p>
    <w:p w14:paraId="4A974ADE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1028DB">
        <w:t>Группа предложит принять участие в качестве наблюдателей экспертам в числе до 10 человек, представляющим гражданское общество, общины коренных народов, межправительственные организации, промышленные круги и Глобальное партнерство ЮНЕП по ртути. Участие наблюдателей будет сбалансировано между вышеупомянутыми группами.</w:t>
      </w:r>
    </w:p>
    <w:p w14:paraId="29200FED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1028DB">
        <w:t>Группа предложит внести вклад другим правительствам, межправительственным организациям, общинам коренных народов, промышленным кругам и организациям гражданского общества для оказания ей помощи в завершении ее работы.</w:t>
      </w:r>
    </w:p>
    <w:p w14:paraId="4E0FB271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1028DB">
        <w:rPr>
          <w:b/>
          <w:sz w:val="28"/>
          <w:szCs w:val="28"/>
        </w:rPr>
        <w:tab/>
        <w:t>III.</w:t>
      </w:r>
      <w:r w:rsidRPr="001028DB">
        <w:rPr>
          <w:b/>
          <w:sz w:val="28"/>
          <w:szCs w:val="28"/>
        </w:rPr>
        <w:tab/>
        <w:t>Рекомендуемые квалификационные требования</w:t>
      </w:r>
    </w:p>
    <w:p w14:paraId="4B3D6D7F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1028DB">
        <w:t>Члены и наблюдатели специальной группы экспертов должны обладать:</w:t>
      </w:r>
    </w:p>
    <w:p w14:paraId="0E9E6FD1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1028DB">
        <w:t>a)</w:t>
      </w:r>
      <w:r w:rsidRPr="001028DB">
        <w:tab/>
        <w:t>опытом, связанным с разработкой системы мониторинга для сбора и анализа данных, полученных в результате отбора проб ртути, для целей оценки тенденций, включая экспертные знания в области моделирования, отбора проб в биотической и водной средах, отбора проб в атмосфере и/или в области воздействия на человека, и/или в области традиционных знаний коренных народов;</w:t>
      </w:r>
    </w:p>
    <w:p w14:paraId="6F344DC2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r w:rsidRPr="001028DB">
        <w:t>b)</w:t>
      </w:r>
      <w:r w:rsidRPr="001028DB">
        <w:tab/>
        <w:t>экспертными знаниями, связанными с подготовкой и осуществлением мониторинга в рамках многосторонних природоохранных соглашений, например, Плана глобального мониторинга в рамках Стокгольмской конвенции; или</w:t>
      </w:r>
    </w:p>
    <w:p w14:paraId="44980B74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1028DB">
        <w:t>c)</w:t>
      </w:r>
      <w:r w:rsidRPr="001028DB">
        <w:tab/>
        <w:t>опытом, связанным с оценкой эффективности.</w:t>
      </w:r>
    </w:p>
    <w:p w14:paraId="17FC4446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1028DB">
        <w:rPr>
          <w:b/>
          <w:sz w:val="28"/>
          <w:szCs w:val="28"/>
        </w:rPr>
        <w:tab/>
        <w:t>IV.</w:t>
      </w:r>
      <w:r w:rsidRPr="001028DB">
        <w:rPr>
          <w:b/>
          <w:sz w:val="28"/>
          <w:szCs w:val="28"/>
        </w:rPr>
        <w:tab/>
        <w:t>Должностные лица</w:t>
      </w:r>
    </w:p>
    <w:p w14:paraId="43D3F0D2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1028DB">
        <w:t xml:space="preserve">Специальная группа экспертов изберет двух сопредседателей для содействия проведению совещания. </w:t>
      </w:r>
    </w:p>
    <w:p w14:paraId="34CA7564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1028DB">
        <w:rPr>
          <w:b/>
          <w:sz w:val="28"/>
          <w:szCs w:val="28"/>
        </w:rPr>
        <w:tab/>
        <w:t>V.</w:t>
      </w:r>
      <w:r w:rsidRPr="001028DB">
        <w:rPr>
          <w:b/>
          <w:sz w:val="28"/>
          <w:szCs w:val="28"/>
        </w:rPr>
        <w:tab/>
        <w:t>Секретариат</w:t>
      </w:r>
    </w:p>
    <w:p w14:paraId="560653A5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1028DB">
        <w:t>Секретариат будет оказывать специальной группе экспертов административную поддержку.</w:t>
      </w:r>
    </w:p>
    <w:p w14:paraId="4BC3C45F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1028DB">
        <w:rPr>
          <w:b/>
          <w:sz w:val="28"/>
          <w:szCs w:val="28"/>
        </w:rPr>
        <w:lastRenderedPageBreak/>
        <w:tab/>
        <w:t>VI.</w:t>
      </w:r>
      <w:r w:rsidRPr="001028DB">
        <w:rPr>
          <w:b/>
          <w:sz w:val="28"/>
          <w:szCs w:val="28"/>
        </w:rPr>
        <w:tab/>
        <w:t>Административные и процедурные вопросы</w:t>
      </w:r>
    </w:p>
    <w:p w14:paraId="30514BC7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1028DB">
        <w:t xml:space="preserve">К работе специальной группы экспертов применяются </w:t>
      </w:r>
      <w:proofErr w:type="spellStart"/>
      <w:r w:rsidRPr="001028DB">
        <w:t>mutatis</w:t>
      </w:r>
      <w:proofErr w:type="spellEnd"/>
      <w:r w:rsidRPr="001028DB">
        <w:t xml:space="preserve"> </w:t>
      </w:r>
      <w:proofErr w:type="spellStart"/>
      <w:r w:rsidRPr="001028DB">
        <w:t>mutandis</w:t>
      </w:r>
      <w:proofErr w:type="spellEnd"/>
      <w:r w:rsidRPr="001028DB">
        <w:t xml:space="preserve"> правила процедуры Конференции Сторон.</w:t>
      </w:r>
    </w:p>
    <w:p w14:paraId="39D4CDE9" w14:textId="77777777" w:rsidR="001028DB" w:rsidRPr="001028DB" w:rsidRDefault="001028DB" w:rsidP="001028DB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1028DB">
        <w:rPr>
          <w:b/>
          <w:sz w:val="28"/>
          <w:szCs w:val="28"/>
        </w:rPr>
        <w:tab/>
        <w:t>VII.</w:t>
      </w:r>
      <w:r w:rsidRPr="001028DB">
        <w:rPr>
          <w:b/>
          <w:sz w:val="28"/>
          <w:szCs w:val="28"/>
        </w:rPr>
        <w:tab/>
        <w:t>Совещания</w:t>
      </w:r>
    </w:p>
    <w:p w14:paraId="33EC3B76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1028DB">
        <w:t>Специальная группа экспертов проведет одно очное совещание, а в остальных случаях будет проводить совещания в формате телеконференции или веб-семинаров до начала второго совещания Конференции Сторон.</w:t>
      </w:r>
    </w:p>
    <w:p w14:paraId="08B1F337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1028DB">
        <w:rPr>
          <w:b/>
          <w:sz w:val="28"/>
          <w:szCs w:val="28"/>
        </w:rPr>
        <w:tab/>
        <w:t>VIII.</w:t>
      </w:r>
      <w:r w:rsidRPr="001028DB">
        <w:rPr>
          <w:b/>
          <w:sz w:val="28"/>
          <w:szCs w:val="28"/>
        </w:rPr>
        <w:tab/>
        <w:t>Язык</w:t>
      </w:r>
    </w:p>
    <w:p w14:paraId="2DCC3430" w14:textId="77777777" w:rsidR="001028DB" w:rsidRPr="001028DB" w:rsidRDefault="001028DB" w:rsidP="001028D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1028DB">
        <w:t>Рабочим языком специальной группы экспертов будет английский язык. Доклад специальной группы экспертов для Конференции Сторон будет переведен на арабский, испанский, китайский, русский и французский языки.</w:t>
      </w:r>
    </w:p>
    <w:p w14:paraId="526594DD" w14:textId="77777777" w:rsidR="006D2181" w:rsidRPr="001028DB" w:rsidRDefault="006D2181" w:rsidP="00F554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bCs/>
          <w:sz w:val="28"/>
          <w:szCs w:val="28"/>
        </w:rPr>
      </w:pPr>
    </w:p>
    <w:sectPr w:rsidR="006D2181" w:rsidRPr="001028DB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FAD3C" w14:textId="77777777" w:rsidR="00E91AB9" w:rsidRDefault="00E91AB9">
      <w:r>
        <w:separator/>
      </w:r>
    </w:p>
  </w:endnote>
  <w:endnote w:type="continuationSeparator" w:id="0">
    <w:p w14:paraId="1A54DF1D" w14:textId="77777777" w:rsidR="00E91AB9" w:rsidRDefault="00E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60F1" w14:textId="77777777" w:rsidR="00E91AB9" w:rsidRDefault="00E91AB9" w:rsidP="00851756">
      <w:pPr>
        <w:spacing w:before="60"/>
        <w:ind w:left="624"/>
      </w:pPr>
      <w:r>
        <w:separator/>
      </w:r>
    </w:p>
  </w:footnote>
  <w:footnote w:type="continuationSeparator" w:id="0">
    <w:p w14:paraId="1CC72C6C" w14:textId="77777777" w:rsidR="00E91AB9" w:rsidRDefault="00E9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4D487EAE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</w:t>
    </w:r>
    <w:r w:rsidR="00ED3AD3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1028DB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2A143CE9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</w:t>
    </w:r>
    <w:r w:rsidR="00F55458">
      <w:rPr>
        <w:lang w:val="en-US"/>
      </w:rPr>
      <w:t>1</w:t>
    </w:r>
    <w:r>
      <w:rPr>
        <w:lang w:val="en-US"/>
      </w:rPr>
      <w:t>/</w:t>
    </w:r>
    <w:r w:rsidR="00801B64">
      <w:rPr>
        <w:lang w:val="en-US"/>
      </w:rPr>
      <w:t>Dec.</w:t>
    </w:r>
    <w:r w:rsidR="001028DB">
      <w:rPr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28DB"/>
    <w:rsid w:val="001056F1"/>
    <w:rsid w:val="00106C0B"/>
    <w:rsid w:val="00110D0D"/>
    <w:rsid w:val="001143B8"/>
    <w:rsid w:val="0011776D"/>
    <w:rsid w:val="001202E3"/>
    <w:rsid w:val="00123699"/>
    <w:rsid w:val="001241FB"/>
    <w:rsid w:val="001254BF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0CB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3DE9"/>
    <w:rsid w:val="00465D27"/>
    <w:rsid w:val="00466991"/>
    <w:rsid w:val="0047064C"/>
    <w:rsid w:val="004822B7"/>
    <w:rsid w:val="00483E03"/>
    <w:rsid w:val="004844FA"/>
    <w:rsid w:val="00490473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D6C7B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181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3D77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4DCD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21C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1AB9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3AD3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55458"/>
    <w:rsid w:val="00F650C3"/>
    <w:rsid w:val="00F65D85"/>
    <w:rsid w:val="00F6700B"/>
    <w:rsid w:val="00F700A9"/>
    <w:rsid w:val="00F742AB"/>
    <w:rsid w:val="00F769FD"/>
    <w:rsid w:val="00F8091E"/>
    <w:rsid w:val="00F8297D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ACCD9-7AEB-44BE-88CC-C6393967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2020-11-09T11:38:00Z</cp:lastPrinted>
  <dcterms:created xsi:type="dcterms:W3CDTF">2020-11-06T09:52:00Z</dcterms:created>
  <dcterms:modified xsi:type="dcterms:W3CDTF">2020-11-09T11:38:00Z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