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741"/>
        <w:gridCol w:w="4748"/>
        <w:gridCol w:w="3411"/>
      </w:tblGrid>
      <w:tr w:rsidR="008E5088" w:rsidRPr="002927A1" w14:paraId="58A38A1E" w14:textId="77777777" w:rsidTr="008E5088">
        <w:trPr>
          <w:cantSplit/>
          <w:trHeight w:val="850"/>
        </w:trPr>
        <w:tc>
          <w:tcPr>
            <w:tcW w:w="1741" w:type="dxa"/>
          </w:tcPr>
          <w:p w14:paraId="78B96826" w14:textId="77777777" w:rsidR="008E5088" w:rsidRPr="002927A1" w:rsidRDefault="008E5088" w:rsidP="00801181">
            <w:pPr>
              <w:rPr>
                <w:rFonts w:ascii="Univers" w:hAnsi="Univers"/>
                <w:b/>
                <w:sz w:val="27"/>
                <w:szCs w:val="27"/>
              </w:rPr>
            </w:pPr>
            <w:r w:rsidRPr="002927A1">
              <w:rPr>
                <w:rFonts w:ascii="Arial" w:hAnsi="Arial" w:cs="Arial"/>
                <w:b/>
                <w:sz w:val="27"/>
                <w:szCs w:val="27"/>
              </w:rPr>
              <w:t>NACIONES UNIDAS</w:t>
            </w:r>
          </w:p>
        </w:tc>
        <w:tc>
          <w:tcPr>
            <w:tcW w:w="4748" w:type="dxa"/>
          </w:tcPr>
          <w:p w14:paraId="7BDD78BB" w14:textId="77777777" w:rsidR="008E5088" w:rsidRPr="002927A1" w:rsidRDefault="008E5088" w:rsidP="00801181">
            <w:pPr>
              <w:rPr>
                <w:rFonts w:ascii="Univers" w:hAnsi="Univers"/>
                <w:b/>
                <w:sz w:val="27"/>
                <w:szCs w:val="27"/>
              </w:rPr>
            </w:pPr>
          </w:p>
        </w:tc>
        <w:tc>
          <w:tcPr>
            <w:tcW w:w="3411" w:type="dxa"/>
          </w:tcPr>
          <w:p w14:paraId="7A6D92BE" w14:textId="77777777" w:rsidR="008E5088" w:rsidRPr="002927A1" w:rsidRDefault="008E5088" w:rsidP="00801181">
            <w:pPr>
              <w:jc w:val="right"/>
              <w:rPr>
                <w:rFonts w:ascii="Arial" w:hAnsi="Arial" w:cs="Arial"/>
                <w:b/>
                <w:sz w:val="64"/>
                <w:szCs w:val="64"/>
              </w:rPr>
            </w:pPr>
            <w:r w:rsidRPr="002927A1">
              <w:rPr>
                <w:rFonts w:ascii="Arial" w:hAnsi="Arial" w:cs="Arial"/>
                <w:b/>
                <w:sz w:val="64"/>
                <w:szCs w:val="64"/>
              </w:rPr>
              <w:t>MC</w:t>
            </w:r>
          </w:p>
        </w:tc>
      </w:tr>
      <w:tr w:rsidR="008E5088" w:rsidRPr="002927A1" w14:paraId="20F87D34" w14:textId="77777777" w:rsidTr="008E5088">
        <w:trPr>
          <w:cantSplit/>
          <w:trHeight w:val="281"/>
        </w:trPr>
        <w:tc>
          <w:tcPr>
            <w:tcW w:w="1741" w:type="dxa"/>
            <w:tcBorders>
              <w:bottom w:val="single" w:sz="4" w:space="0" w:color="auto"/>
            </w:tcBorders>
          </w:tcPr>
          <w:p w14:paraId="14F68DEC" w14:textId="77777777" w:rsidR="008E5088" w:rsidRPr="002927A1" w:rsidRDefault="008E5088" w:rsidP="00801181">
            <w:pPr>
              <w:rPr>
                <w:sz w:val="18"/>
                <w:szCs w:val="18"/>
              </w:rPr>
            </w:pPr>
          </w:p>
        </w:tc>
        <w:tc>
          <w:tcPr>
            <w:tcW w:w="4748" w:type="dxa"/>
            <w:tcBorders>
              <w:bottom w:val="single" w:sz="4" w:space="0" w:color="auto"/>
            </w:tcBorders>
          </w:tcPr>
          <w:p w14:paraId="51AF5539" w14:textId="77777777" w:rsidR="008E5088" w:rsidRPr="002927A1" w:rsidRDefault="008E5088" w:rsidP="00801181">
            <w:pPr>
              <w:rPr>
                <w:rFonts w:ascii="Univers" w:hAnsi="Univers"/>
                <w:b/>
                <w:sz w:val="18"/>
                <w:szCs w:val="18"/>
              </w:rPr>
            </w:pPr>
          </w:p>
        </w:tc>
        <w:tc>
          <w:tcPr>
            <w:tcW w:w="3411" w:type="dxa"/>
            <w:tcBorders>
              <w:bottom w:val="single" w:sz="4" w:space="0" w:color="auto"/>
            </w:tcBorders>
          </w:tcPr>
          <w:p w14:paraId="4E655847" w14:textId="1E361EBE" w:rsidR="008E5088" w:rsidRPr="002927A1" w:rsidRDefault="008E5088" w:rsidP="00801181">
            <w:pPr>
              <w:rPr>
                <w:sz w:val="18"/>
                <w:szCs w:val="18"/>
              </w:rPr>
            </w:pPr>
            <w:r w:rsidRPr="002927A1">
              <w:rPr>
                <w:b/>
                <w:bCs/>
                <w:sz w:val="28"/>
              </w:rPr>
              <w:t>UNEP</w:t>
            </w:r>
            <w:r w:rsidRPr="002927A1">
              <w:rPr>
                <w:b/>
                <w:bCs/>
              </w:rPr>
              <w:t>/</w:t>
            </w:r>
            <w:r w:rsidRPr="002927A1">
              <w:t>MC/COP.</w:t>
            </w:r>
            <w:r w:rsidR="00A03799">
              <w:t>1</w:t>
            </w:r>
            <w:r w:rsidRPr="002927A1">
              <w:t>/</w:t>
            </w:r>
            <w:r w:rsidR="001D2060">
              <w:t>Dec</w:t>
            </w:r>
            <w:r w:rsidR="00530A2C">
              <w:t>.</w:t>
            </w:r>
            <w:r w:rsidR="007B03D1">
              <w:t>9</w:t>
            </w:r>
          </w:p>
        </w:tc>
      </w:tr>
      <w:tr w:rsidR="008E5088" w:rsidRPr="002927A1" w14:paraId="5CC50D76" w14:textId="77777777" w:rsidTr="008E5088">
        <w:trPr>
          <w:cantSplit/>
          <w:trHeight w:val="2549"/>
        </w:trPr>
        <w:tc>
          <w:tcPr>
            <w:tcW w:w="1741" w:type="dxa"/>
            <w:tcBorders>
              <w:top w:val="single" w:sz="4" w:space="0" w:color="auto"/>
              <w:bottom w:val="single" w:sz="24" w:space="0" w:color="auto"/>
            </w:tcBorders>
          </w:tcPr>
          <w:p w14:paraId="77E7EC75" w14:textId="77777777" w:rsidR="008E5088" w:rsidRPr="002927A1" w:rsidRDefault="008E5088" w:rsidP="00801181">
            <w:bookmarkStart w:id="0" w:name="_MON_1021710510"/>
            <w:bookmarkEnd w:id="0"/>
            <w:r w:rsidRPr="002927A1">
              <w:rPr>
                <w:noProof/>
                <w:lang w:eastAsia="es-ES_tradnl"/>
              </w:rPr>
              <w:drawing>
                <wp:inline distT="0" distB="0" distL="0" distR="0" wp14:anchorId="0EA254D1" wp14:editId="049C8D74">
                  <wp:extent cx="828040" cy="76898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8040" cy="768985"/>
                          </a:xfrm>
                          <a:prstGeom prst="rect">
                            <a:avLst/>
                          </a:prstGeom>
                          <a:noFill/>
                          <a:ln>
                            <a:noFill/>
                          </a:ln>
                        </pic:spPr>
                      </pic:pic>
                    </a:graphicData>
                  </a:graphic>
                </wp:inline>
              </w:drawing>
            </w:r>
            <w:r w:rsidRPr="002927A1">
              <w:rPr>
                <w:noProof/>
                <w:lang w:eastAsia="es-ES_tradnl"/>
              </w:rPr>
              <w:drawing>
                <wp:inline distT="0" distB="0" distL="0" distR="0" wp14:anchorId="04EB3F1C" wp14:editId="4FE0CFD7">
                  <wp:extent cx="723900" cy="769620"/>
                  <wp:effectExtent l="0" t="0" r="0" b="0"/>
                  <wp:docPr id="4" name="Picture 4"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748" w:type="dxa"/>
            <w:tcBorders>
              <w:top w:val="single" w:sz="4" w:space="0" w:color="auto"/>
              <w:bottom w:val="single" w:sz="24" w:space="0" w:color="auto"/>
            </w:tcBorders>
          </w:tcPr>
          <w:p w14:paraId="17674A07" w14:textId="77777777" w:rsidR="008E5088" w:rsidRPr="002927A1" w:rsidRDefault="008E5088" w:rsidP="00801181">
            <w:pPr>
              <w:spacing w:before="1200"/>
              <w:rPr>
                <w:rFonts w:ascii="Arial" w:hAnsi="Arial" w:cs="Arial"/>
                <w:b/>
                <w:sz w:val="28"/>
                <w:szCs w:val="28"/>
              </w:rPr>
            </w:pPr>
            <w:r w:rsidRPr="002927A1">
              <w:rPr>
                <w:rFonts w:ascii="Arial" w:hAnsi="Arial" w:cs="Arial"/>
                <w:b/>
                <w:sz w:val="32"/>
                <w:szCs w:val="32"/>
              </w:rPr>
              <w:t xml:space="preserve">Programa de las </w:t>
            </w:r>
            <w:r w:rsidRPr="002927A1">
              <w:rPr>
                <w:rFonts w:ascii="Arial" w:hAnsi="Arial" w:cs="Arial"/>
                <w:b/>
                <w:sz w:val="32"/>
                <w:szCs w:val="32"/>
              </w:rPr>
              <w:br/>
              <w:t xml:space="preserve">Naciones Unidas </w:t>
            </w:r>
            <w:r w:rsidRPr="002927A1">
              <w:rPr>
                <w:rFonts w:ascii="Arial" w:hAnsi="Arial" w:cs="Arial"/>
                <w:b/>
                <w:sz w:val="32"/>
                <w:szCs w:val="32"/>
              </w:rPr>
              <w:br/>
              <w:t>para el Medio Ambiente</w:t>
            </w:r>
          </w:p>
        </w:tc>
        <w:tc>
          <w:tcPr>
            <w:tcW w:w="3411" w:type="dxa"/>
            <w:tcBorders>
              <w:top w:val="single" w:sz="4" w:space="0" w:color="auto"/>
              <w:bottom w:val="single" w:sz="24" w:space="0" w:color="auto"/>
            </w:tcBorders>
          </w:tcPr>
          <w:p w14:paraId="708FBC64" w14:textId="59496333" w:rsidR="008E5088" w:rsidRPr="002927A1" w:rsidRDefault="008E5088" w:rsidP="00801181">
            <w:pPr>
              <w:pStyle w:val="Normal-pool"/>
              <w:spacing w:before="120"/>
              <w:rPr>
                <w:lang w:val="es-ES_tradnl"/>
              </w:rPr>
            </w:pPr>
            <w:proofErr w:type="spellStart"/>
            <w:r w:rsidRPr="002927A1">
              <w:rPr>
                <w:lang w:val="es-ES_tradnl"/>
              </w:rPr>
              <w:t>Distr</w:t>
            </w:r>
            <w:proofErr w:type="spellEnd"/>
            <w:r w:rsidRPr="002927A1">
              <w:rPr>
                <w:lang w:val="es-ES_tradnl"/>
              </w:rPr>
              <w:t>. general</w:t>
            </w:r>
            <w:r w:rsidRPr="002927A1">
              <w:rPr>
                <w:lang w:val="es-ES_tradnl"/>
              </w:rPr>
              <w:br/>
            </w:r>
            <w:r w:rsidR="00A03799">
              <w:rPr>
                <w:lang w:val="es-ES_tradnl"/>
              </w:rPr>
              <w:t>22</w:t>
            </w:r>
            <w:r w:rsidRPr="002927A1">
              <w:rPr>
                <w:lang w:val="es-ES_tradnl"/>
              </w:rPr>
              <w:t xml:space="preserve"> de </w:t>
            </w:r>
            <w:r w:rsidR="00A03799">
              <w:rPr>
                <w:lang w:val="es-ES_tradnl"/>
              </w:rPr>
              <w:t>noviembre</w:t>
            </w:r>
            <w:r w:rsidRPr="002927A1">
              <w:rPr>
                <w:lang w:val="es-ES_tradnl"/>
              </w:rPr>
              <w:t xml:space="preserve"> de </w:t>
            </w:r>
            <w:r w:rsidR="003739C1">
              <w:rPr>
                <w:lang w:val="es-ES_tradnl"/>
              </w:rPr>
              <w:t>201</w:t>
            </w:r>
            <w:r w:rsidR="00A03799">
              <w:rPr>
                <w:lang w:val="es-ES_tradnl"/>
              </w:rPr>
              <w:t>7</w:t>
            </w:r>
          </w:p>
          <w:p w14:paraId="553B3DF7" w14:textId="77777777" w:rsidR="008E5088" w:rsidRPr="002927A1" w:rsidRDefault="008E5088" w:rsidP="00801181">
            <w:pPr>
              <w:spacing w:before="120"/>
            </w:pPr>
            <w:r w:rsidRPr="002927A1">
              <w:t>Español</w:t>
            </w:r>
            <w:r w:rsidRPr="002927A1">
              <w:br/>
              <w:t>Original: inglés</w:t>
            </w:r>
          </w:p>
        </w:tc>
      </w:tr>
    </w:tbl>
    <w:p w14:paraId="5737B55F" w14:textId="38433221" w:rsidR="005726B0" w:rsidRPr="002927A1" w:rsidRDefault="005726B0" w:rsidP="0086474A">
      <w:pPr>
        <w:pStyle w:val="AATitle"/>
        <w:keepNext w:val="0"/>
        <w:keepLines w:val="0"/>
        <w:rPr>
          <w:lang w:val="es-ES_tradnl"/>
        </w:rPr>
      </w:pPr>
      <w:r w:rsidRPr="002927A1">
        <w:rPr>
          <w:lang w:val="es-ES_tradnl"/>
        </w:rPr>
        <w:t>Conferencia de</w:t>
      </w:r>
      <w:r w:rsidR="00966CA2" w:rsidRPr="002927A1">
        <w:rPr>
          <w:lang w:val="es-ES_tradnl"/>
        </w:rPr>
        <w:t xml:space="preserve"> las Partes en el Convenio de Mi</w:t>
      </w:r>
      <w:r w:rsidRPr="002927A1">
        <w:rPr>
          <w:lang w:val="es-ES_tradnl"/>
        </w:rPr>
        <w:t>namata sobre el Mercurio</w:t>
      </w:r>
    </w:p>
    <w:p w14:paraId="0F35D050" w14:textId="529655E9" w:rsidR="005726B0" w:rsidRPr="002927A1" w:rsidRDefault="00A03799" w:rsidP="0086474A">
      <w:pPr>
        <w:pStyle w:val="AATitle"/>
        <w:keepNext w:val="0"/>
        <w:keepLines w:val="0"/>
        <w:rPr>
          <w:lang w:val="es-ES_tradnl"/>
        </w:rPr>
      </w:pPr>
      <w:r>
        <w:rPr>
          <w:lang w:val="es-ES_tradnl"/>
        </w:rPr>
        <w:t>Primer</w:t>
      </w:r>
      <w:r w:rsidR="005726B0" w:rsidRPr="002927A1">
        <w:rPr>
          <w:lang w:val="es-ES_tradnl"/>
        </w:rPr>
        <w:t>a reunión</w:t>
      </w:r>
    </w:p>
    <w:p w14:paraId="1E853587" w14:textId="30AC5387" w:rsidR="005726B0" w:rsidRPr="002927A1" w:rsidRDefault="005726B0" w:rsidP="0086474A">
      <w:pPr>
        <w:pStyle w:val="AATitle"/>
        <w:keepNext w:val="0"/>
        <w:keepLines w:val="0"/>
        <w:rPr>
          <w:b w:val="0"/>
          <w:lang w:val="es-ES_tradnl"/>
        </w:rPr>
      </w:pPr>
      <w:r w:rsidRPr="002927A1">
        <w:rPr>
          <w:b w:val="0"/>
          <w:lang w:val="es-ES_tradnl"/>
        </w:rPr>
        <w:t xml:space="preserve">Ginebra, </w:t>
      </w:r>
      <w:r w:rsidR="00A03799">
        <w:rPr>
          <w:b w:val="0"/>
          <w:lang w:val="es-ES_tradnl"/>
        </w:rPr>
        <w:t>24</w:t>
      </w:r>
      <w:r w:rsidRPr="002927A1">
        <w:rPr>
          <w:b w:val="0"/>
          <w:lang w:val="es-ES_tradnl"/>
        </w:rPr>
        <w:t xml:space="preserve"> a </w:t>
      </w:r>
      <w:r w:rsidR="003739C1">
        <w:rPr>
          <w:b w:val="0"/>
          <w:lang w:val="es-ES_tradnl"/>
        </w:rPr>
        <w:t>2</w:t>
      </w:r>
      <w:r w:rsidR="00A03799">
        <w:rPr>
          <w:b w:val="0"/>
          <w:lang w:val="es-ES_tradnl"/>
        </w:rPr>
        <w:t>9</w:t>
      </w:r>
      <w:r w:rsidRPr="002927A1">
        <w:rPr>
          <w:b w:val="0"/>
          <w:lang w:val="es-ES_tradnl"/>
        </w:rPr>
        <w:t xml:space="preserve"> de </w:t>
      </w:r>
      <w:r w:rsidR="00A03799">
        <w:rPr>
          <w:b w:val="0"/>
          <w:lang w:val="es-ES_tradnl"/>
        </w:rPr>
        <w:t>septiembre</w:t>
      </w:r>
      <w:r w:rsidRPr="002927A1">
        <w:rPr>
          <w:b w:val="0"/>
          <w:lang w:val="es-ES_tradnl"/>
        </w:rPr>
        <w:t xml:space="preserve"> de 201</w:t>
      </w:r>
      <w:r w:rsidR="00A03799">
        <w:rPr>
          <w:b w:val="0"/>
          <w:lang w:val="es-ES_tradnl"/>
        </w:rPr>
        <w:t>7</w:t>
      </w:r>
    </w:p>
    <w:p w14:paraId="699814FA" w14:textId="402C45BF" w:rsidR="0099003C" w:rsidRPr="002927A1" w:rsidRDefault="00530A2C" w:rsidP="0099003C">
      <w:pPr>
        <w:pStyle w:val="BBTitle"/>
        <w:rPr>
          <w:lang w:val="es-ES_tradnl"/>
        </w:rPr>
      </w:pPr>
      <w:r>
        <w:rPr>
          <w:bCs/>
          <w:lang w:val="es-ES_tradnl"/>
        </w:rPr>
        <w:t xml:space="preserve">Decisión adoptada por la </w:t>
      </w:r>
      <w:r w:rsidR="00A03799">
        <w:rPr>
          <w:bCs/>
          <w:lang w:val="es-ES_tradnl"/>
        </w:rPr>
        <w:t>primer</w:t>
      </w:r>
      <w:r>
        <w:rPr>
          <w:bCs/>
          <w:lang w:val="es-ES_tradnl"/>
        </w:rPr>
        <w:t>a</w:t>
      </w:r>
      <w:r w:rsidR="005726B0" w:rsidRPr="002927A1">
        <w:rPr>
          <w:bCs/>
          <w:lang w:val="es-ES_tradnl"/>
        </w:rPr>
        <w:t xml:space="preserve"> Conferencia de las Partes en el Convenio de Minamata sobre el Mercurio</w:t>
      </w:r>
    </w:p>
    <w:p w14:paraId="23DB6603" w14:textId="3168B222" w:rsidR="009C6954" w:rsidRDefault="009C6954" w:rsidP="009C6954">
      <w:pPr>
        <w:pStyle w:val="AATitle"/>
        <w:keepNext w:val="0"/>
        <w:keepLines w:val="0"/>
        <w:spacing w:before="240" w:after="120"/>
        <w:rPr>
          <w:lang w:val="es-ES_tradnl"/>
        </w:rPr>
      </w:pPr>
    </w:p>
    <w:p w14:paraId="763EA6AA" w14:textId="77777777" w:rsidR="007B03D1" w:rsidRPr="001932F8" w:rsidRDefault="007B03D1" w:rsidP="007B03D1">
      <w:pPr>
        <w:pStyle w:val="Heading1"/>
      </w:pPr>
      <w:r w:rsidRPr="001932F8">
        <w:tab/>
      </w:r>
      <w:bookmarkStart w:id="1" w:name="_Toc505761135"/>
      <w:r>
        <w:t>MC</w:t>
      </w:r>
      <w:r w:rsidRPr="001932F8">
        <w:t>-1/9: Establecimiento de los arreglos relativos a la evaluación de la eficacia</w:t>
      </w:r>
      <w:bookmarkEnd w:id="1"/>
      <w:r w:rsidRPr="001932F8">
        <w:t xml:space="preserve"> </w:t>
      </w:r>
    </w:p>
    <w:p w14:paraId="5C8CAFD5" w14:textId="77777777" w:rsidR="007B03D1" w:rsidRPr="001932F8" w:rsidRDefault="007B03D1" w:rsidP="007B03D1">
      <w:pPr>
        <w:pStyle w:val="ZZAnxheader"/>
        <w:spacing w:after="120"/>
        <w:ind w:left="1247" w:firstLine="624"/>
        <w:rPr>
          <w:b w:val="0"/>
          <w:i/>
          <w:sz w:val="20"/>
          <w:szCs w:val="20"/>
          <w:lang w:val="es-ES"/>
        </w:rPr>
      </w:pPr>
      <w:r w:rsidRPr="001932F8">
        <w:rPr>
          <w:b w:val="0"/>
          <w:i/>
          <w:sz w:val="20"/>
          <w:szCs w:val="20"/>
          <w:lang w:val="es-ES"/>
        </w:rPr>
        <w:t>La Conferencia de las Partes,</w:t>
      </w:r>
    </w:p>
    <w:p w14:paraId="1C4263C2" w14:textId="77777777" w:rsidR="007B03D1" w:rsidRPr="001932F8" w:rsidRDefault="007B03D1" w:rsidP="007B03D1">
      <w:pPr>
        <w:spacing w:afterLines="50" w:after="120"/>
        <w:ind w:left="1247" w:firstLineChars="300" w:firstLine="600"/>
        <w:rPr>
          <w:lang w:val="es-ES"/>
        </w:rPr>
      </w:pPr>
      <w:r w:rsidRPr="001932F8">
        <w:rPr>
          <w:i/>
          <w:lang w:val="es-ES"/>
        </w:rPr>
        <w:t>Reconociendo</w:t>
      </w:r>
      <w:r w:rsidRPr="001932F8">
        <w:rPr>
          <w:lang w:val="es-ES"/>
        </w:rPr>
        <w:t xml:space="preserve"> la necesidad urgente de un marco de la evaluación de la eficacia del Convenio de Minamata sobre el Mercurio que incluya un enfoque estratégico y rentable que proporcione datos apropiados y suficientes,</w:t>
      </w:r>
    </w:p>
    <w:p w14:paraId="39F9DA1A" w14:textId="77777777" w:rsidR="007B03D1" w:rsidRPr="001932F8" w:rsidRDefault="007B03D1" w:rsidP="007B03D1">
      <w:pPr>
        <w:spacing w:afterLines="50" w:after="120"/>
        <w:ind w:left="1247" w:firstLineChars="300" w:firstLine="600"/>
        <w:rPr>
          <w:lang w:val="es-ES"/>
        </w:rPr>
      </w:pPr>
      <w:r w:rsidRPr="001932F8">
        <w:rPr>
          <w:i/>
          <w:lang w:val="es-ES"/>
        </w:rPr>
        <w:t>Tomando nota</w:t>
      </w:r>
      <w:r w:rsidRPr="001932F8">
        <w:rPr>
          <w:lang w:val="es-ES"/>
        </w:rPr>
        <w:t xml:space="preserve"> de la recopilación de la información facilitada a través del proceso del Comité Intergubernamental de Negociación para preparar un instrumento jurídicamente vinculante a nivel mundial sobre el mercurio,</w:t>
      </w:r>
    </w:p>
    <w:p w14:paraId="4130DC01" w14:textId="77777777" w:rsidR="007B03D1" w:rsidRPr="001932F8" w:rsidRDefault="007B03D1" w:rsidP="007B03D1">
      <w:pPr>
        <w:spacing w:afterLines="50" w:after="120"/>
        <w:ind w:left="1247" w:firstLineChars="300" w:firstLine="600"/>
        <w:rPr>
          <w:lang w:val="es-ES"/>
        </w:rPr>
      </w:pPr>
      <w:r w:rsidRPr="001932F8">
        <w:rPr>
          <w:i/>
          <w:lang w:val="es-ES"/>
        </w:rPr>
        <w:t xml:space="preserve">Reconociendo </w:t>
      </w:r>
      <w:r w:rsidRPr="001932F8">
        <w:rPr>
          <w:lang w:val="es-ES"/>
        </w:rPr>
        <w:t xml:space="preserve">las evaluaciones mundiales del mercurio solicitadas por el Consejo de Administración del Programa de las Naciones Unidas para el Medio Ambiente y las evaluaciones iniciales del Convenio de Minamata como fuentes de información importantes que contribuyen a la evaluación de la eficacia, </w:t>
      </w:r>
    </w:p>
    <w:p w14:paraId="0A74F3EC" w14:textId="77777777" w:rsidR="007B03D1" w:rsidRPr="001932F8" w:rsidRDefault="007B03D1" w:rsidP="007B03D1">
      <w:pPr>
        <w:pStyle w:val="Normalnumber"/>
        <w:numPr>
          <w:ilvl w:val="0"/>
          <w:numId w:val="15"/>
        </w:numPr>
        <w:tabs>
          <w:tab w:val="clear" w:pos="624"/>
          <w:tab w:val="clear" w:pos="1247"/>
        </w:tabs>
        <w:suppressAutoHyphens/>
        <w:autoSpaceDN w:val="0"/>
        <w:ind w:left="1247" w:firstLine="624"/>
        <w:textAlignment w:val="baseline"/>
        <w:rPr>
          <w:b/>
          <w:lang w:val="es-ES"/>
        </w:rPr>
      </w:pPr>
      <w:r w:rsidRPr="001932F8">
        <w:rPr>
          <w:i/>
          <w:lang w:val="es-ES"/>
        </w:rPr>
        <w:t xml:space="preserve">Adopta </w:t>
      </w:r>
      <w:r w:rsidRPr="001932F8">
        <w:rPr>
          <w:lang w:val="es-ES"/>
        </w:rPr>
        <w:t xml:space="preserve">los anexos I y II de la presente decisión; </w:t>
      </w:r>
    </w:p>
    <w:p w14:paraId="43BE6B3E" w14:textId="77777777" w:rsidR="007B03D1" w:rsidRPr="001932F8" w:rsidRDefault="007B03D1" w:rsidP="007B03D1">
      <w:pPr>
        <w:pStyle w:val="Normalnumber"/>
        <w:numPr>
          <w:ilvl w:val="0"/>
          <w:numId w:val="15"/>
        </w:numPr>
        <w:tabs>
          <w:tab w:val="clear" w:pos="624"/>
          <w:tab w:val="clear" w:pos="1247"/>
        </w:tabs>
        <w:suppressAutoHyphens/>
        <w:autoSpaceDN w:val="0"/>
        <w:ind w:left="1247" w:firstLine="624"/>
        <w:textAlignment w:val="baseline"/>
        <w:rPr>
          <w:lang w:val="es-ES"/>
        </w:rPr>
      </w:pPr>
      <w:r w:rsidRPr="001932F8">
        <w:rPr>
          <w:i/>
          <w:lang w:val="es-ES"/>
        </w:rPr>
        <w:t>Solicita</w:t>
      </w:r>
      <w:r w:rsidRPr="001932F8">
        <w:rPr>
          <w:lang w:val="es-ES"/>
        </w:rPr>
        <w:t xml:space="preserve"> a la Secretaría que apoye la labor que se esboza en esos dos anexos.</w:t>
      </w:r>
    </w:p>
    <w:p w14:paraId="7B250070" w14:textId="77777777" w:rsidR="007B03D1" w:rsidRPr="001932F8" w:rsidRDefault="007B03D1" w:rsidP="007B03D1">
      <w:pPr>
        <w:pStyle w:val="ZZAnxtitle"/>
        <w:spacing w:before="240"/>
        <w:ind w:left="0"/>
        <w:rPr>
          <w:sz w:val="24"/>
          <w:lang w:val="es-ES"/>
        </w:rPr>
      </w:pPr>
      <w:r w:rsidRPr="001932F8">
        <w:rPr>
          <w:sz w:val="24"/>
          <w:lang w:val="es-ES"/>
        </w:rPr>
        <w:tab/>
        <w:t>Anexo I de la decisión MC-1/9</w:t>
      </w:r>
    </w:p>
    <w:p w14:paraId="558EBD80" w14:textId="77777777" w:rsidR="007B03D1" w:rsidRPr="001932F8" w:rsidRDefault="007B03D1" w:rsidP="007B03D1">
      <w:pPr>
        <w:pStyle w:val="ZZAnxtitle"/>
        <w:spacing w:before="120"/>
        <w:rPr>
          <w:sz w:val="24"/>
          <w:lang w:val="es-ES"/>
        </w:rPr>
      </w:pPr>
      <w:r w:rsidRPr="001932F8">
        <w:rPr>
          <w:sz w:val="24"/>
          <w:lang w:val="es-ES"/>
        </w:rPr>
        <w:t>Proyecto de hoja de ruta para el establecimiento de arreglos para proveer a la Conferencia de las Partes de datos monitorizados comparables, y elementos de un marco de evaluación de la eficacia de conformidad con el artículo 22 del Convenio de Minamata</w:t>
      </w:r>
    </w:p>
    <w:tbl>
      <w:tblPr>
        <w:tblW w:w="4322" w:type="pct"/>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5701"/>
        <w:gridCol w:w="2502"/>
      </w:tblGrid>
      <w:tr w:rsidR="007B03D1" w:rsidRPr="001932F8" w14:paraId="4BCC131F" w14:textId="77777777" w:rsidTr="00A53323">
        <w:trPr>
          <w:trHeight w:val="212"/>
          <w:tblHeader/>
          <w:jc w:val="right"/>
        </w:trPr>
        <w:tc>
          <w:tcPr>
            <w:tcW w:w="5705" w:type="dxa"/>
            <w:tcBorders>
              <w:top w:val="single" w:sz="4" w:space="0" w:color="000000"/>
              <w:left w:val="nil"/>
              <w:bottom w:val="single" w:sz="12" w:space="0" w:color="000000"/>
              <w:right w:val="nil"/>
            </w:tcBorders>
            <w:tcMar>
              <w:top w:w="80" w:type="dxa"/>
              <w:left w:w="80" w:type="dxa"/>
              <w:bottom w:w="80" w:type="dxa"/>
              <w:right w:w="80" w:type="dxa"/>
            </w:tcMar>
          </w:tcPr>
          <w:p w14:paraId="6008B83B" w14:textId="77777777" w:rsidR="007B03D1" w:rsidRPr="001932F8" w:rsidRDefault="007B03D1" w:rsidP="00A53323">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rPr>
                <w:i/>
                <w:sz w:val="18"/>
                <w:szCs w:val="18"/>
                <w:lang w:val="es-ES"/>
              </w:rPr>
            </w:pPr>
            <w:r w:rsidRPr="001932F8">
              <w:rPr>
                <w:i/>
                <w:sz w:val="18"/>
                <w:szCs w:val="18"/>
                <w:lang w:val="es-ES"/>
              </w:rPr>
              <w:t>Actividad</w:t>
            </w:r>
          </w:p>
        </w:tc>
        <w:tc>
          <w:tcPr>
            <w:tcW w:w="2504" w:type="dxa"/>
            <w:tcBorders>
              <w:top w:val="single" w:sz="4" w:space="0" w:color="000000"/>
              <w:left w:val="nil"/>
              <w:bottom w:val="single" w:sz="12" w:space="0" w:color="000000"/>
              <w:right w:val="nil"/>
            </w:tcBorders>
            <w:tcMar>
              <w:top w:w="80" w:type="dxa"/>
              <w:left w:w="80" w:type="dxa"/>
              <w:bottom w:w="80" w:type="dxa"/>
              <w:right w:w="80" w:type="dxa"/>
            </w:tcMar>
          </w:tcPr>
          <w:p w14:paraId="49909C61" w14:textId="77777777" w:rsidR="007B03D1" w:rsidRPr="001932F8" w:rsidRDefault="007B03D1" w:rsidP="00A53323">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rPr>
                <w:i/>
                <w:sz w:val="18"/>
                <w:szCs w:val="18"/>
                <w:lang w:val="es-ES"/>
              </w:rPr>
            </w:pPr>
            <w:r w:rsidRPr="001932F8">
              <w:rPr>
                <w:i/>
                <w:sz w:val="18"/>
                <w:szCs w:val="18"/>
                <w:lang w:val="es-ES"/>
              </w:rPr>
              <w:t>Calendario</w:t>
            </w:r>
          </w:p>
        </w:tc>
      </w:tr>
      <w:tr w:rsidR="007B03D1" w:rsidRPr="001932F8" w14:paraId="4C861204" w14:textId="77777777" w:rsidTr="00A53323">
        <w:trPr>
          <w:trHeight w:val="468"/>
          <w:jc w:val="right"/>
        </w:trPr>
        <w:tc>
          <w:tcPr>
            <w:tcW w:w="5705" w:type="dxa"/>
            <w:tcBorders>
              <w:top w:val="nil"/>
              <w:left w:val="nil"/>
              <w:bottom w:val="nil"/>
              <w:right w:val="nil"/>
            </w:tcBorders>
            <w:tcMar>
              <w:top w:w="80" w:type="dxa"/>
              <w:left w:w="80" w:type="dxa"/>
              <w:bottom w:w="80" w:type="dxa"/>
              <w:right w:w="80" w:type="dxa"/>
            </w:tcMar>
          </w:tcPr>
          <w:p w14:paraId="6F067CF4" w14:textId="77777777" w:rsidR="007B03D1" w:rsidRPr="001932F8" w:rsidRDefault="007B03D1" w:rsidP="00A53323">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rPr>
                <w:color w:val="auto"/>
                <w:sz w:val="18"/>
                <w:szCs w:val="18"/>
                <w:lang w:val="es-ES"/>
              </w:rPr>
            </w:pPr>
            <w:r w:rsidRPr="001932F8">
              <w:rPr>
                <w:sz w:val="18"/>
                <w:szCs w:val="18"/>
                <w:lang w:val="es-ES"/>
              </w:rPr>
              <w:t xml:space="preserve">Las candidaturas para el grupo especial de expertos se presentan a la Secretaría por conducto de los miembros de la Mesa de la Conferencia de las Partes. </w:t>
            </w:r>
          </w:p>
        </w:tc>
        <w:tc>
          <w:tcPr>
            <w:tcW w:w="2504" w:type="dxa"/>
            <w:tcBorders>
              <w:top w:val="nil"/>
              <w:left w:val="nil"/>
              <w:bottom w:val="nil"/>
              <w:right w:val="nil"/>
            </w:tcBorders>
            <w:tcMar>
              <w:top w:w="80" w:type="dxa"/>
              <w:left w:w="80" w:type="dxa"/>
              <w:bottom w:w="80" w:type="dxa"/>
              <w:right w:w="80" w:type="dxa"/>
            </w:tcMar>
          </w:tcPr>
          <w:p w14:paraId="66F47DAC" w14:textId="77777777" w:rsidR="007B03D1" w:rsidRPr="001932F8" w:rsidRDefault="007B03D1" w:rsidP="00A53323">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rPr>
                <w:sz w:val="18"/>
                <w:szCs w:val="18"/>
                <w:lang w:val="es-ES"/>
              </w:rPr>
            </w:pPr>
            <w:r w:rsidRPr="001932F8">
              <w:rPr>
                <w:sz w:val="18"/>
                <w:szCs w:val="18"/>
                <w:lang w:val="es-ES"/>
              </w:rPr>
              <w:t>1 de noviembre de 2017</w:t>
            </w:r>
          </w:p>
        </w:tc>
      </w:tr>
      <w:tr w:rsidR="007B03D1" w:rsidRPr="001932F8" w14:paraId="1E1199BF" w14:textId="77777777" w:rsidTr="00A53323">
        <w:trPr>
          <w:trHeight w:val="192"/>
          <w:jc w:val="right"/>
        </w:trPr>
        <w:tc>
          <w:tcPr>
            <w:tcW w:w="5705" w:type="dxa"/>
            <w:tcBorders>
              <w:top w:val="nil"/>
              <w:left w:val="nil"/>
              <w:bottom w:val="nil"/>
              <w:right w:val="nil"/>
            </w:tcBorders>
            <w:tcMar>
              <w:top w:w="80" w:type="dxa"/>
              <w:left w:w="80" w:type="dxa"/>
              <w:bottom w:w="80" w:type="dxa"/>
              <w:right w:w="80" w:type="dxa"/>
            </w:tcMar>
          </w:tcPr>
          <w:p w14:paraId="4E6DF7D2" w14:textId="77777777" w:rsidR="007B03D1" w:rsidRPr="001932F8" w:rsidRDefault="007B03D1" w:rsidP="00A53323">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rPr>
                <w:color w:val="auto"/>
                <w:spacing w:val="-2"/>
                <w:sz w:val="18"/>
                <w:szCs w:val="18"/>
                <w:lang w:val="es-ES"/>
              </w:rPr>
            </w:pPr>
            <w:r w:rsidRPr="001932F8">
              <w:rPr>
                <w:spacing w:val="-2"/>
                <w:sz w:val="18"/>
                <w:szCs w:val="18"/>
                <w:lang w:val="es-ES"/>
              </w:rPr>
              <w:t xml:space="preserve">El grupo especial de expertos celebrará reuniones presenciales, tomando como base la información presentada anteriormente y reunida por la Secretaría, y </w:t>
            </w:r>
            <w:r w:rsidRPr="001932F8">
              <w:rPr>
                <w:spacing w:val="-2"/>
                <w:sz w:val="18"/>
                <w:szCs w:val="18"/>
                <w:lang w:val="es-ES"/>
              </w:rPr>
              <w:lastRenderedPageBreak/>
              <w:t xml:space="preserve">teniendo en cuenta la labor desarrollada al respecto en otros acuerdos ambientales multilaterales, por ejemplo, el Convenio de Estocolmo. </w:t>
            </w:r>
          </w:p>
        </w:tc>
        <w:tc>
          <w:tcPr>
            <w:tcW w:w="2504" w:type="dxa"/>
            <w:tcBorders>
              <w:top w:val="nil"/>
              <w:left w:val="nil"/>
              <w:bottom w:val="nil"/>
              <w:right w:val="nil"/>
            </w:tcBorders>
            <w:tcMar>
              <w:top w:w="80" w:type="dxa"/>
              <w:left w:w="80" w:type="dxa"/>
              <w:bottom w:w="80" w:type="dxa"/>
              <w:right w:w="80" w:type="dxa"/>
            </w:tcMar>
          </w:tcPr>
          <w:p w14:paraId="6BC9215B" w14:textId="77777777" w:rsidR="007B03D1" w:rsidRPr="001932F8" w:rsidRDefault="007B03D1" w:rsidP="00A53323">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rPr>
                <w:sz w:val="18"/>
                <w:szCs w:val="18"/>
                <w:lang w:val="es-ES"/>
              </w:rPr>
            </w:pPr>
            <w:r w:rsidRPr="001932F8">
              <w:rPr>
                <w:sz w:val="18"/>
                <w:szCs w:val="18"/>
                <w:lang w:val="es-ES"/>
              </w:rPr>
              <w:lastRenderedPageBreak/>
              <w:t>Enero/febrero de 2018</w:t>
            </w:r>
          </w:p>
        </w:tc>
      </w:tr>
      <w:tr w:rsidR="007B03D1" w:rsidRPr="001932F8" w14:paraId="4E037344" w14:textId="77777777" w:rsidTr="00A53323">
        <w:trPr>
          <w:trHeight w:val="192"/>
          <w:jc w:val="right"/>
        </w:trPr>
        <w:tc>
          <w:tcPr>
            <w:tcW w:w="5705" w:type="dxa"/>
            <w:tcBorders>
              <w:top w:val="nil"/>
              <w:left w:val="nil"/>
              <w:bottom w:val="nil"/>
              <w:right w:val="nil"/>
            </w:tcBorders>
            <w:tcMar>
              <w:top w:w="80" w:type="dxa"/>
              <w:left w:w="80" w:type="dxa"/>
              <w:bottom w:w="80" w:type="dxa"/>
              <w:right w:w="80" w:type="dxa"/>
            </w:tcMar>
          </w:tcPr>
          <w:p w14:paraId="2443E744" w14:textId="77777777" w:rsidR="007B03D1" w:rsidRPr="001932F8" w:rsidRDefault="007B03D1" w:rsidP="00A53323">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rPr>
                <w:color w:val="auto"/>
                <w:sz w:val="18"/>
                <w:szCs w:val="18"/>
                <w:lang w:val="es-ES"/>
              </w:rPr>
            </w:pPr>
            <w:r w:rsidRPr="001932F8">
              <w:rPr>
                <w:sz w:val="18"/>
                <w:szCs w:val="18"/>
                <w:lang w:val="es-ES"/>
              </w:rPr>
              <w:t>El grupo especial de expertos prepara el proyecto de informe, que incluirá el esbozo, el plan y los elementos del marco de evaluación de la eficacia, y la Secretaría lo remite a los interesados para que se formulen observaciones.</w:t>
            </w:r>
          </w:p>
        </w:tc>
        <w:tc>
          <w:tcPr>
            <w:tcW w:w="2504" w:type="dxa"/>
            <w:tcBorders>
              <w:top w:val="nil"/>
              <w:left w:val="nil"/>
              <w:bottom w:val="nil"/>
              <w:right w:val="nil"/>
            </w:tcBorders>
            <w:tcMar>
              <w:top w:w="80" w:type="dxa"/>
              <w:left w:w="80" w:type="dxa"/>
              <w:bottom w:w="80" w:type="dxa"/>
              <w:right w:w="80" w:type="dxa"/>
            </w:tcMar>
          </w:tcPr>
          <w:p w14:paraId="5C0BDBFD" w14:textId="77777777" w:rsidR="007B03D1" w:rsidRPr="001932F8" w:rsidRDefault="007B03D1" w:rsidP="00A53323">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rPr>
                <w:sz w:val="18"/>
                <w:szCs w:val="18"/>
                <w:lang w:val="es-ES"/>
              </w:rPr>
            </w:pPr>
            <w:r w:rsidRPr="001932F8">
              <w:rPr>
                <w:sz w:val="18"/>
                <w:szCs w:val="18"/>
                <w:lang w:val="es-ES"/>
              </w:rPr>
              <w:t>15 mayo de 2018</w:t>
            </w:r>
          </w:p>
        </w:tc>
      </w:tr>
      <w:tr w:rsidR="007B03D1" w:rsidRPr="001932F8" w14:paraId="4083D16D" w14:textId="77777777" w:rsidTr="00A53323">
        <w:trPr>
          <w:trHeight w:val="807"/>
          <w:jc w:val="right"/>
        </w:trPr>
        <w:tc>
          <w:tcPr>
            <w:tcW w:w="5705" w:type="dxa"/>
            <w:tcBorders>
              <w:top w:val="nil"/>
              <w:left w:val="nil"/>
              <w:bottom w:val="nil"/>
              <w:right w:val="nil"/>
            </w:tcBorders>
            <w:tcMar>
              <w:top w:w="80" w:type="dxa"/>
              <w:left w:w="80" w:type="dxa"/>
              <w:bottom w:w="80" w:type="dxa"/>
              <w:right w:w="80" w:type="dxa"/>
            </w:tcMar>
          </w:tcPr>
          <w:p w14:paraId="7569E94B" w14:textId="77777777" w:rsidR="007B03D1" w:rsidRPr="001932F8" w:rsidRDefault="007B03D1" w:rsidP="00A53323">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 w:val="left" w:pos="2471"/>
                <w:tab w:val="left" w:pos="4172"/>
              </w:tabs>
              <w:ind w:right="92"/>
              <w:rPr>
                <w:color w:val="auto"/>
                <w:sz w:val="18"/>
                <w:szCs w:val="18"/>
                <w:lang w:val="es-ES"/>
              </w:rPr>
            </w:pPr>
            <w:r w:rsidRPr="001932F8">
              <w:rPr>
                <w:sz w:val="18"/>
                <w:szCs w:val="18"/>
                <w:lang w:val="es-ES"/>
              </w:rPr>
              <w:t>El grupo especial de expertos revisa y da los últimos toques al informe, incluido el esbozo, el plan, y los elementos del marco de la evaluación de la eficacia, y la Secretaría lo remite a la segunda reunión de la Conferencia de las Partes para su examen.</w:t>
            </w:r>
          </w:p>
        </w:tc>
        <w:tc>
          <w:tcPr>
            <w:tcW w:w="2504" w:type="dxa"/>
            <w:tcBorders>
              <w:top w:val="nil"/>
              <w:left w:val="nil"/>
              <w:bottom w:val="nil"/>
              <w:right w:val="nil"/>
            </w:tcBorders>
            <w:tcMar>
              <w:top w:w="80" w:type="dxa"/>
              <w:left w:w="80" w:type="dxa"/>
              <w:bottom w:w="80" w:type="dxa"/>
              <w:right w:w="80" w:type="dxa"/>
            </w:tcMar>
          </w:tcPr>
          <w:p w14:paraId="7B27CA2B" w14:textId="77777777" w:rsidR="007B03D1" w:rsidRPr="001932F8" w:rsidRDefault="007B03D1" w:rsidP="00A53323">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rPr>
                <w:sz w:val="18"/>
                <w:szCs w:val="18"/>
                <w:lang w:val="es-ES"/>
              </w:rPr>
            </w:pPr>
            <w:r w:rsidRPr="001932F8">
              <w:rPr>
                <w:sz w:val="18"/>
                <w:szCs w:val="18"/>
                <w:lang w:val="es-ES"/>
              </w:rPr>
              <w:t>20 de julio de 2018</w:t>
            </w:r>
          </w:p>
        </w:tc>
      </w:tr>
      <w:tr w:rsidR="007B03D1" w:rsidRPr="00611390" w14:paraId="15E29A20" w14:textId="77777777" w:rsidTr="00A53323">
        <w:trPr>
          <w:trHeight w:val="807"/>
          <w:jc w:val="right"/>
        </w:trPr>
        <w:tc>
          <w:tcPr>
            <w:tcW w:w="5705" w:type="dxa"/>
            <w:tcBorders>
              <w:top w:val="nil"/>
              <w:left w:val="nil"/>
              <w:bottom w:val="single" w:sz="12" w:space="0" w:color="auto"/>
              <w:right w:val="nil"/>
            </w:tcBorders>
            <w:tcMar>
              <w:top w:w="80" w:type="dxa"/>
              <w:left w:w="80" w:type="dxa"/>
              <w:bottom w:w="80" w:type="dxa"/>
              <w:right w:w="80" w:type="dxa"/>
            </w:tcMar>
          </w:tcPr>
          <w:p w14:paraId="1C061B8A" w14:textId="77777777" w:rsidR="007B03D1" w:rsidRPr="001932F8" w:rsidRDefault="007B03D1" w:rsidP="00A53323">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rPr>
                <w:rStyle w:val="Hyperlink0"/>
                <w:color w:val="auto"/>
                <w:sz w:val="18"/>
                <w:szCs w:val="18"/>
                <w:lang w:val="es-ES"/>
              </w:rPr>
            </w:pPr>
            <w:r w:rsidRPr="001932F8">
              <w:rPr>
                <w:sz w:val="18"/>
                <w:szCs w:val="18"/>
                <w:lang w:val="es-ES"/>
              </w:rPr>
              <w:t xml:space="preserve">La versión final del informe es examinada por la Conferencia de las Partes en su segunda reunión. </w:t>
            </w:r>
          </w:p>
        </w:tc>
        <w:tc>
          <w:tcPr>
            <w:tcW w:w="2504" w:type="dxa"/>
            <w:tcBorders>
              <w:top w:val="nil"/>
              <w:left w:val="nil"/>
              <w:bottom w:val="single" w:sz="12" w:space="0" w:color="auto"/>
              <w:right w:val="nil"/>
            </w:tcBorders>
            <w:tcMar>
              <w:top w:w="80" w:type="dxa"/>
              <w:left w:w="80" w:type="dxa"/>
              <w:bottom w:w="80" w:type="dxa"/>
              <w:right w:w="80" w:type="dxa"/>
            </w:tcMar>
          </w:tcPr>
          <w:p w14:paraId="315B47EA" w14:textId="77777777" w:rsidR="007B03D1" w:rsidRPr="001932F8" w:rsidRDefault="007B03D1" w:rsidP="00A53323">
            <w:pPr>
              <w:pStyle w:val="Brdtext"/>
              <w:pBdr>
                <w:top w:val="none" w:sz="0" w:space="0" w:color="auto"/>
                <w:left w:val="none" w:sz="0" w:space="0" w:color="auto"/>
                <w:bottom w:val="none" w:sz="0" w:space="0" w:color="auto"/>
                <w:right w:val="none" w:sz="0" w:space="0" w:color="auto"/>
                <w:bar w:val="none" w:sz="0" w:color="auto"/>
              </w:pBdr>
              <w:tabs>
                <w:tab w:val="clear" w:pos="1247"/>
                <w:tab w:val="clear" w:pos="1814"/>
                <w:tab w:val="clear" w:pos="2381"/>
                <w:tab w:val="clear" w:pos="2948"/>
                <w:tab w:val="clear" w:pos="3515"/>
              </w:tabs>
              <w:rPr>
                <w:rStyle w:val="Hyperlink0"/>
                <w:sz w:val="18"/>
                <w:szCs w:val="18"/>
                <w:lang w:val="es-ES"/>
              </w:rPr>
            </w:pPr>
            <w:r w:rsidRPr="001932F8">
              <w:rPr>
                <w:sz w:val="18"/>
                <w:szCs w:val="18"/>
                <w:lang w:val="es-ES"/>
              </w:rPr>
              <w:t>Noviembre de 2018 (fecha provisional de celebración de la segunda reunión de la Conferencia de las Partes)</w:t>
            </w:r>
          </w:p>
        </w:tc>
      </w:tr>
    </w:tbl>
    <w:p w14:paraId="36F3C853" w14:textId="77777777" w:rsidR="007B03D1" w:rsidRDefault="007B03D1" w:rsidP="007B03D1">
      <w:pPr>
        <w:spacing w:before="240"/>
        <w:rPr>
          <w:b/>
          <w:sz w:val="24"/>
          <w:szCs w:val="28"/>
          <w:lang w:val="es-ES"/>
        </w:rPr>
      </w:pPr>
    </w:p>
    <w:p w14:paraId="6D387DB4" w14:textId="1195B2A9" w:rsidR="007B03D1" w:rsidRPr="001932F8" w:rsidRDefault="007B03D1" w:rsidP="007B03D1">
      <w:pPr>
        <w:spacing w:before="240"/>
        <w:rPr>
          <w:b/>
          <w:sz w:val="24"/>
          <w:szCs w:val="28"/>
          <w:lang w:val="es-ES"/>
        </w:rPr>
      </w:pPr>
      <w:bookmarkStart w:id="2" w:name="_GoBack"/>
      <w:bookmarkEnd w:id="2"/>
      <w:r>
        <w:rPr>
          <w:b/>
          <w:sz w:val="24"/>
          <w:szCs w:val="28"/>
          <w:lang w:val="es-ES"/>
        </w:rPr>
        <w:tab/>
      </w:r>
      <w:r w:rsidRPr="001932F8">
        <w:rPr>
          <w:b/>
          <w:sz w:val="24"/>
          <w:szCs w:val="28"/>
          <w:lang w:val="es-ES"/>
        </w:rPr>
        <w:t>Anexo II de la decisión MC-1/9</w:t>
      </w:r>
    </w:p>
    <w:p w14:paraId="2B3B65D1" w14:textId="77777777" w:rsidR="007B03D1" w:rsidRPr="001932F8" w:rsidRDefault="007B03D1" w:rsidP="007B03D1">
      <w:pPr>
        <w:spacing w:before="120" w:after="240"/>
        <w:ind w:left="1247"/>
        <w:rPr>
          <w:b/>
          <w:sz w:val="24"/>
          <w:szCs w:val="28"/>
          <w:lang w:val="es-ES"/>
        </w:rPr>
      </w:pPr>
      <w:r w:rsidRPr="001932F8">
        <w:rPr>
          <w:b/>
          <w:sz w:val="24"/>
          <w:szCs w:val="28"/>
          <w:lang w:val="es-ES"/>
        </w:rPr>
        <w:t>Proyecto de mandato de un grupo especial de expertos sobre los arreglos para proveer a la Conferencia de las Partes de datos monitorizados comparables, y los elementos de un marco de evaluación de la eficacia de conformidad con el artículo 22 del Convenio de Minamata</w:t>
      </w:r>
    </w:p>
    <w:p w14:paraId="20BDCD7B" w14:textId="77777777" w:rsidR="007B03D1" w:rsidRPr="001932F8" w:rsidRDefault="007B03D1" w:rsidP="007B03D1">
      <w:pPr>
        <w:pStyle w:val="CH1"/>
        <w:rPr>
          <w:lang w:val="es-ES"/>
        </w:rPr>
      </w:pPr>
      <w:r w:rsidRPr="001932F8">
        <w:rPr>
          <w:lang w:val="es-ES"/>
        </w:rPr>
        <w:tab/>
        <w:t>I.</w:t>
      </w:r>
      <w:r w:rsidRPr="001932F8">
        <w:rPr>
          <w:lang w:val="es-ES"/>
        </w:rPr>
        <w:tab/>
        <w:t>Mandato</w:t>
      </w:r>
    </w:p>
    <w:p w14:paraId="2C80B742" w14:textId="77777777" w:rsidR="007B03D1" w:rsidRPr="001932F8" w:rsidRDefault="007B03D1" w:rsidP="007B03D1">
      <w:pPr>
        <w:pStyle w:val="NormalNonumber"/>
        <w:rPr>
          <w:lang w:val="es-ES"/>
        </w:rPr>
      </w:pPr>
      <w:r w:rsidRPr="001932F8">
        <w:rPr>
          <w:lang w:val="es-ES"/>
        </w:rPr>
        <w:t>La Conferencia de las Partes establece un grupo especial de expertos encargado de:</w:t>
      </w:r>
    </w:p>
    <w:p w14:paraId="61033511" w14:textId="77777777" w:rsidR="007B03D1" w:rsidRPr="001932F8" w:rsidRDefault="007B03D1" w:rsidP="007B03D1">
      <w:pPr>
        <w:pStyle w:val="NormalNonumber"/>
        <w:numPr>
          <w:ilvl w:val="0"/>
          <w:numId w:val="18"/>
        </w:numPr>
        <w:tabs>
          <w:tab w:val="clear" w:pos="1247"/>
          <w:tab w:val="clear" w:pos="1814"/>
          <w:tab w:val="clear" w:pos="2381"/>
          <w:tab w:val="clear" w:pos="2948"/>
          <w:tab w:val="clear" w:pos="3515"/>
          <w:tab w:val="clear" w:pos="4082"/>
        </w:tabs>
        <w:suppressAutoHyphens/>
        <w:autoSpaceDN w:val="0"/>
        <w:ind w:left="1247" w:firstLine="624"/>
        <w:textAlignment w:val="baseline"/>
        <w:rPr>
          <w:lang w:val="es-ES"/>
        </w:rPr>
      </w:pPr>
      <w:r w:rsidRPr="001932F8">
        <w:rPr>
          <w:lang w:val="es-ES"/>
        </w:rPr>
        <w:t>Elaborar arreglos relativos a la supervisión, teniendo en cuenta la experiencia de otros acuerdos ambientales multilaterales, por ejemplo, el Convenio de Estocolmo, para su examen por la Conferencia de las Partes en su segunda reunión, entre ellos:</w:t>
      </w:r>
    </w:p>
    <w:p w14:paraId="5317C210" w14:textId="77777777" w:rsidR="007B03D1" w:rsidRPr="001932F8" w:rsidRDefault="007B03D1" w:rsidP="007B03D1">
      <w:pPr>
        <w:pStyle w:val="NormalNonumber"/>
        <w:tabs>
          <w:tab w:val="clear" w:pos="1247"/>
          <w:tab w:val="clear" w:pos="1814"/>
          <w:tab w:val="clear" w:pos="2381"/>
          <w:tab w:val="clear" w:pos="2948"/>
          <w:tab w:val="clear" w:pos="3515"/>
          <w:tab w:val="clear" w:pos="4082"/>
        </w:tabs>
        <w:ind w:left="3119" w:hanging="624"/>
        <w:rPr>
          <w:lang w:val="es-ES"/>
        </w:rPr>
      </w:pPr>
      <w:r w:rsidRPr="001932F8">
        <w:rPr>
          <w:lang w:val="es-ES"/>
        </w:rPr>
        <w:t>i)</w:t>
      </w:r>
      <w:r w:rsidRPr="001932F8">
        <w:rPr>
          <w:lang w:val="es-ES"/>
        </w:rPr>
        <w:tab/>
        <w:t>Un esbozo de los tipos de datos que podrían compararse a nivel regional, así como su disponibilidad;</w:t>
      </w:r>
    </w:p>
    <w:p w14:paraId="517CC770" w14:textId="77777777" w:rsidR="007B03D1" w:rsidRPr="001932F8" w:rsidRDefault="007B03D1" w:rsidP="007B03D1">
      <w:pPr>
        <w:pStyle w:val="NormalNonumber"/>
        <w:tabs>
          <w:tab w:val="clear" w:pos="1247"/>
          <w:tab w:val="clear" w:pos="1814"/>
          <w:tab w:val="clear" w:pos="2381"/>
          <w:tab w:val="clear" w:pos="2948"/>
          <w:tab w:val="clear" w:pos="3515"/>
          <w:tab w:val="clear" w:pos="4082"/>
        </w:tabs>
        <w:ind w:left="3119" w:hanging="624"/>
        <w:rPr>
          <w:lang w:val="es-ES"/>
        </w:rPr>
      </w:pPr>
      <w:proofErr w:type="spellStart"/>
      <w:r w:rsidRPr="001932F8">
        <w:rPr>
          <w:lang w:val="es-ES"/>
        </w:rPr>
        <w:t>ii</w:t>
      </w:r>
      <w:proofErr w:type="spellEnd"/>
      <w:r w:rsidRPr="001932F8">
        <w:rPr>
          <w:lang w:val="es-ES"/>
        </w:rPr>
        <w:t>)</w:t>
      </w:r>
      <w:r w:rsidRPr="001932F8">
        <w:rPr>
          <w:lang w:val="es-ES"/>
        </w:rPr>
        <w:tab/>
        <w:t>Un proyecto de plan que incluya los resultados comparables de la vigilancia que los países y los interesados puedan optar por llevar a cabo en el futuro; y como parte de esta labor:</w:t>
      </w:r>
    </w:p>
    <w:p w14:paraId="3AFBF58B" w14:textId="77777777" w:rsidR="007B03D1" w:rsidRPr="001932F8" w:rsidRDefault="007B03D1" w:rsidP="007B03D1">
      <w:pPr>
        <w:pStyle w:val="Normalnumber"/>
        <w:numPr>
          <w:ilvl w:val="0"/>
          <w:numId w:val="16"/>
        </w:numPr>
        <w:tabs>
          <w:tab w:val="clear" w:pos="624"/>
          <w:tab w:val="clear" w:pos="1247"/>
        </w:tabs>
        <w:suppressAutoHyphens/>
        <w:autoSpaceDN w:val="0"/>
        <w:ind w:left="3743" w:hanging="624"/>
        <w:textAlignment w:val="baseline"/>
        <w:rPr>
          <w:lang w:val="es-ES"/>
        </w:rPr>
      </w:pPr>
      <w:r w:rsidRPr="001932F8">
        <w:rPr>
          <w:lang w:val="es-ES"/>
        </w:rPr>
        <w:t>Examinar la información sobre programas de vigilancia existentes, en particular de la información que los Gobiernos y las organizaciones intergubernamentales y no gubernamentales hayan presentado a la Secretaría, y cualquier otra información disponible;</w:t>
      </w:r>
    </w:p>
    <w:p w14:paraId="6F07B7E0" w14:textId="77777777" w:rsidR="007B03D1" w:rsidRPr="001932F8" w:rsidRDefault="007B03D1" w:rsidP="007B03D1">
      <w:pPr>
        <w:pStyle w:val="Normalnumber"/>
        <w:numPr>
          <w:ilvl w:val="0"/>
          <w:numId w:val="16"/>
        </w:numPr>
        <w:tabs>
          <w:tab w:val="clear" w:pos="624"/>
          <w:tab w:val="clear" w:pos="1247"/>
        </w:tabs>
        <w:suppressAutoHyphens/>
        <w:autoSpaceDN w:val="0"/>
        <w:ind w:left="3743" w:hanging="624"/>
        <w:textAlignment w:val="baseline"/>
        <w:rPr>
          <w:lang w:val="es-ES"/>
        </w:rPr>
      </w:pPr>
      <w:r w:rsidRPr="001932F8">
        <w:rPr>
          <w:lang w:val="es-ES"/>
        </w:rPr>
        <w:t xml:space="preserve">Evaluar en qué medida la información examinada </w:t>
      </w:r>
      <w:r w:rsidRPr="001F07AF">
        <w:rPr>
          <w:lang w:val="es-ES"/>
        </w:rPr>
        <w:t xml:space="preserve">en el párrafo a) </w:t>
      </w:r>
      <w:proofErr w:type="spellStart"/>
      <w:r w:rsidRPr="001F07AF">
        <w:rPr>
          <w:lang w:val="es-ES"/>
        </w:rPr>
        <w:t>ii</w:t>
      </w:r>
      <w:proofErr w:type="spellEnd"/>
      <w:r w:rsidRPr="001F07AF">
        <w:rPr>
          <w:lang w:val="es-ES"/>
        </w:rPr>
        <w:t>) a)</w:t>
      </w:r>
      <w:r w:rsidRPr="001932F8">
        <w:rPr>
          <w:lang w:val="es-ES"/>
        </w:rPr>
        <w:t xml:space="preserve"> satisface las necesidades en materia de vigilancia que se mencionan en el párrafo 2 del artículo 22 del Convenio y, sobre esa base, esbozar opciones para aumentar la comparabilidad y exhaustividad de la información examinada;</w:t>
      </w:r>
    </w:p>
    <w:p w14:paraId="1625F92C" w14:textId="77777777" w:rsidR="007B03D1" w:rsidRPr="001932F8" w:rsidRDefault="007B03D1" w:rsidP="007B03D1">
      <w:pPr>
        <w:pStyle w:val="Normalnumber"/>
        <w:numPr>
          <w:ilvl w:val="0"/>
          <w:numId w:val="16"/>
        </w:numPr>
        <w:tabs>
          <w:tab w:val="clear" w:pos="624"/>
          <w:tab w:val="clear" w:pos="1247"/>
        </w:tabs>
        <w:suppressAutoHyphens/>
        <w:autoSpaceDN w:val="0"/>
        <w:ind w:left="3743" w:hanging="624"/>
        <w:textAlignment w:val="baseline"/>
        <w:rPr>
          <w:lang w:val="es-ES"/>
        </w:rPr>
      </w:pPr>
      <w:r w:rsidRPr="001932F8">
        <w:rPr>
          <w:lang w:val="es-ES"/>
        </w:rPr>
        <w:t>Tomar en consideración la eficacia en función de los costos, la factibilidad, la viabilidad y la sostenibilidad, la cobertura mundial, y las capacidades regionales a la hora de determinar las posibilidades de futuras mejoras de la vigilancia;</w:t>
      </w:r>
    </w:p>
    <w:p w14:paraId="49D4DCEF" w14:textId="77777777" w:rsidR="007B03D1" w:rsidRPr="001932F8" w:rsidRDefault="007B03D1" w:rsidP="007B03D1">
      <w:pPr>
        <w:pStyle w:val="Normalnumber"/>
        <w:numPr>
          <w:ilvl w:val="0"/>
          <w:numId w:val="16"/>
        </w:numPr>
        <w:tabs>
          <w:tab w:val="clear" w:pos="624"/>
          <w:tab w:val="clear" w:pos="1247"/>
        </w:tabs>
        <w:suppressAutoHyphens/>
        <w:autoSpaceDN w:val="0"/>
        <w:ind w:left="3743" w:hanging="624"/>
        <w:textAlignment w:val="baseline"/>
        <w:rPr>
          <w:lang w:val="es-ES"/>
        </w:rPr>
      </w:pPr>
      <w:r w:rsidRPr="001932F8">
        <w:rPr>
          <w:lang w:val="es-ES"/>
        </w:rPr>
        <w:t>Determinar las capacidades de elaboración de modelos para evaluar los cambios en los niveles mundiales del mercurio dentro de los distintos medios y entre ellos;</w:t>
      </w:r>
    </w:p>
    <w:p w14:paraId="062C8F66" w14:textId="77777777" w:rsidR="007B03D1" w:rsidRPr="001932F8" w:rsidRDefault="007B03D1" w:rsidP="007B03D1">
      <w:pPr>
        <w:pStyle w:val="Normalnumber"/>
        <w:numPr>
          <w:ilvl w:val="0"/>
          <w:numId w:val="16"/>
        </w:numPr>
        <w:tabs>
          <w:tab w:val="clear" w:pos="624"/>
          <w:tab w:val="clear" w:pos="1247"/>
        </w:tabs>
        <w:suppressAutoHyphens/>
        <w:autoSpaceDN w:val="0"/>
        <w:ind w:left="3743" w:hanging="624"/>
        <w:textAlignment w:val="baseline"/>
        <w:rPr>
          <w:lang w:val="es-ES"/>
        </w:rPr>
      </w:pPr>
      <w:r w:rsidRPr="001932F8">
        <w:rPr>
          <w:lang w:val="es-ES"/>
        </w:rPr>
        <w:t xml:space="preserve">Identificar fuentes de datos que puedan utilizarse para establecer una base de referencia; </w:t>
      </w:r>
    </w:p>
    <w:p w14:paraId="7685F5F9" w14:textId="77777777" w:rsidR="007B03D1" w:rsidRPr="001932F8" w:rsidRDefault="007B03D1" w:rsidP="007B03D1">
      <w:pPr>
        <w:pStyle w:val="Normalnumber"/>
        <w:numPr>
          <w:ilvl w:val="0"/>
          <w:numId w:val="16"/>
        </w:numPr>
        <w:tabs>
          <w:tab w:val="clear" w:pos="624"/>
          <w:tab w:val="clear" w:pos="1247"/>
        </w:tabs>
        <w:suppressAutoHyphens/>
        <w:autoSpaceDN w:val="0"/>
        <w:ind w:left="3743" w:hanging="624"/>
        <w:textAlignment w:val="baseline"/>
        <w:rPr>
          <w:lang w:val="es-ES"/>
        </w:rPr>
      </w:pPr>
      <w:r w:rsidRPr="001932F8">
        <w:rPr>
          <w:lang w:val="es-ES"/>
        </w:rPr>
        <w:t>Determinar la forma en que las actividades de vigilancia pueden contribuir al desarrollo del marco de la evaluación de la eficacia;</w:t>
      </w:r>
    </w:p>
    <w:p w14:paraId="0C3A3AF6" w14:textId="77777777" w:rsidR="007B03D1" w:rsidRPr="001932F8" w:rsidRDefault="007B03D1" w:rsidP="007B03D1">
      <w:pPr>
        <w:pStyle w:val="NormalNonumber"/>
        <w:numPr>
          <w:ilvl w:val="0"/>
          <w:numId w:val="18"/>
        </w:numPr>
        <w:tabs>
          <w:tab w:val="clear" w:pos="1247"/>
          <w:tab w:val="clear" w:pos="1814"/>
          <w:tab w:val="clear" w:pos="2381"/>
          <w:tab w:val="clear" w:pos="2948"/>
          <w:tab w:val="clear" w:pos="3515"/>
          <w:tab w:val="clear" w:pos="4082"/>
        </w:tabs>
        <w:suppressAutoHyphens/>
        <w:autoSpaceDN w:val="0"/>
        <w:ind w:left="1247" w:firstLine="624"/>
        <w:textAlignment w:val="baseline"/>
        <w:rPr>
          <w:lang w:val="es-ES"/>
        </w:rPr>
      </w:pPr>
      <w:r w:rsidRPr="001932F8">
        <w:rPr>
          <w:lang w:val="es-ES"/>
        </w:rPr>
        <w:lastRenderedPageBreak/>
        <w:t>Elaborar elementos de un marco de evaluación de la eficacia, teniendo en cuenta la experiencia en el marco de otros acuerdos ambientales multilaterales, por ejemplo, el Convenio de Estocolmo, para su examen por la Conferencia de las Partes en su segunda reunión, mediante, entre otras cosas:</w:t>
      </w:r>
    </w:p>
    <w:p w14:paraId="30F49941" w14:textId="77777777" w:rsidR="007B03D1" w:rsidRPr="001932F8" w:rsidRDefault="007B03D1" w:rsidP="007B03D1">
      <w:pPr>
        <w:pStyle w:val="NormalNonumber"/>
        <w:tabs>
          <w:tab w:val="clear" w:pos="1247"/>
          <w:tab w:val="clear" w:pos="1814"/>
          <w:tab w:val="clear" w:pos="2381"/>
          <w:tab w:val="clear" w:pos="2948"/>
          <w:tab w:val="clear" w:pos="3515"/>
          <w:tab w:val="clear" w:pos="4082"/>
        </w:tabs>
        <w:ind w:left="3119" w:hanging="624"/>
        <w:rPr>
          <w:lang w:val="es-ES"/>
        </w:rPr>
      </w:pPr>
      <w:r w:rsidRPr="001932F8">
        <w:rPr>
          <w:lang w:val="es-ES"/>
        </w:rPr>
        <w:t>i)</w:t>
      </w:r>
      <w:r w:rsidRPr="001932F8">
        <w:rPr>
          <w:lang w:val="es-ES"/>
        </w:rPr>
        <w:tab/>
        <w:t>La identificación de los pasos necesarios para realizar una evaluación de la eficacia;</w:t>
      </w:r>
    </w:p>
    <w:p w14:paraId="32A81AB2" w14:textId="77777777" w:rsidR="007B03D1" w:rsidRPr="001932F8" w:rsidRDefault="007B03D1" w:rsidP="007B03D1">
      <w:pPr>
        <w:pStyle w:val="NormalNonumber"/>
        <w:tabs>
          <w:tab w:val="clear" w:pos="1247"/>
          <w:tab w:val="clear" w:pos="1814"/>
          <w:tab w:val="clear" w:pos="2381"/>
          <w:tab w:val="clear" w:pos="2948"/>
          <w:tab w:val="clear" w:pos="3515"/>
          <w:tab w:val="clear" w:pos="4082"/>
        </w:tabs>
        <w:ind w:left="3119" w:hanging="624"/>
        <w:rPr>
          <w:lang w:val="es-ES"/>
        </w:rPr>
      </w:pPr>
      <w:proofErr w:type="spellStart"/>
      <w:r w:rsidRPr="001932F8">
        <w:rPr>
          <w:lang w:val="es-ES"/>
        </w:rPr>
        <w:t>ii</w:t>
      </w:r>
      <w:proofErr w:type="spellEnd"/>
      <w:r w:rsidRPr="001932F8">
        <w:rPr>
          <w:lang w:val="es-ES"/>
        </w:rPr>
        <w:t>)</w:t>
      </w:r>
      <w:r w:rsidRPr="001932F8">
        <w:rPr>
          <w:lang w:val="es-ES"/>
        </w:rPr>
        <w:tab/>
        <w:t xml:space="preserve">La sugerencia de un flujo del proceso (calendario) para planificar el proceso de evaluación de la eficacia; </w:t>
      </w:r>
    </w:p>
    <w:p w14:paraId="7614EE76" w14:textId="77777777" w:rsidR="007B03D1" w:rsidRPr="001932F8" w:rsidRDefault="007B03D1" w:rsidP="007B03D1">
      <w:pPr>
        <w:pStyle w:val="NormalNonumber"/>
        <w:tabs>
          <w:tab w:val="clear" w:pos="1247"/>
          <w:tab w:val="clear" w:pos="1814"/>
          <w:tab w:val="clear" w:pos="2381"/>
          <w:tab w:val="clear" w:pos="2948"/>
          <w:tab w:val="clear" w:pos="3515"/>
          <w:tab w:val="clear" w:pos="4082"/>
        </w:tabs>
        <w:ind w:left="3119" w:hanging="624"/>
        <w:rPr>
          <w:lang w:val="es-ES"/>
        </w:rPr>
      </w:pPr>
      <w:proofErr w:type="spellStart"/>
      <w:r w:rsidRPr="001932F8">
        <w:rPr>
          <w:lang w:val="es-ES"/>
        </w:rPr>
        <w:t>iii</w:t>
      </w:r>
      <w:proofErr w:type="spellEnd"/>
      <w:r w:rsidRPr="001932F8">
        <w:rPr>
          <w:lang w:val="es-ES"/>
        </w:rPr>
        <w:t>)</w:t>
      </w:r>
      <w:r w:rsidRPr="001932F8">
        <w:rPr>
          <w:lang w:val="es-ES"/>
        </w:rPr>
        <w:tab/>
        <w:t xml:space="preserve">La determinación de los arreglos necesarios para llevar a cabo la evaluación de la eficacia; </w:t>
      </w:r>
    </w:p>
    <w:p w14:paraId="1C0D0FDE" w14:textId="77777777" w:rsidR="007B03D1" w:rsidRPr="001932F8" w:rsidRDefault="007B03D1" w:rsidP="007B03D1">
      <w:pPr>
        <w:pStyle w:val="NormalNonumber"/>
        <w:tabs>
          <w:tab w:val="clear" w:pos="1247"/>
          <w:tab w:val="clear" w:pos="1814"/>
          <w:tab w:val="clear" w:pos="2381"/>
          <w:tab w:val="clear" w:pos="2948"/>
          <w:tab w:val="clear" w:pos="3515"/>
          <w:tab w:val="clear" w:pos="4082"/>
        </w:tabs>
        <w:ind w:left="3119" w:hanging="624"/>
        <w:rPr>
          <w:lang w:val="es-ES"/>
        </w:rPr>
      </w:pPr>
      <w:proofErr w:type="spellStart"/>
      <w:r w:rsidRPr="001932F8">
        <w:rPr>
          <w:lang w:val="es-ES"/>
        </w:rPr>
        <w:t>iv</w:t>
      </w:r>
      <w:proofErr w:type="spellEnd"/>
      <w:r w:rsidRPr="001932F8">
        <w:rPr>
          <w:lang w:val="es-ES"/>
        </w:rPr>
        <w:t>)</w:t>
      </w:r>
      <w:r w:rsidRPr="001932F8">
        <w:rPr>
          <w:lang w:val="es-ES"/>
        </w:rPr>
        <w:tab/>
        <w:t xml:space="preserve">La redacción de un mandato para el comité que tendrá a su cargo la realización de la primera evaluación de la eficacia; </w:t>
      </w:r>
    </w:p>
    <w:p w14:paraId="3C2679D0" w14:textId="77777777" w:rsidR="007B03D1" w:rsidRPr="001932F8" w:rsidRDefault="007B03D1" w:rsidP="007B03D1">
      <w:pPr>
        <w:pStyle w:val="NormalNonumber"/>
        <w:tabs>
          <w:tab w:val="clear" w:pos="1247"/>
          <w:tab w:val="clear" w:pos="1814"/>
          <w:tab w:val="clear" w:pos="2381"/>
          <w:tab w:val="clear" w:pos="2948"/>
          <w:tab w:val="clear" w:pos="3515"/>
          <w:tab w:val="clear" w:pos="4082"/>
        </w:tabs>
        <w:ind w:left="3119" w:hanging="624"/>
        <w:rPr>
          <w:lang w:val="es-ES"/>
        </w:rPr>
      </w:pPr>
      <w:r w:rsidRPr="001932F8">
        <w:rPr>
          <w:lang w:val="es-ES"/>
        </w:rPr>
        <w:t>v)</w:t>
      </w:r>
      <w:r w:rsidRPr="001932F8">
        <w:rPr>
          <w:lang w:val="es-ES"/>
        </w:rPr>
        <w:tab/>
        <w:t>La evaluación de posibles enfoques para la elaboración de indicadores del desempeño;</w:t>
      </w:r>
    </w:p>
    <w:p w14:paraId="2B1BE2F3" w14:textId="77777777" w:rsidR="007B03D1" w:rsidRPr="001932F8" w:rsidRDefault="007B03D1" w:rsidP="007B03D1">
      <w:pPr>
        <w:pStyle w:val="NormalNonumber"/>
        <w:numPr>
          <w:ilvl w:val="0"/>
          <w:numId w:val="18"/>
        </w:numPr>
        <w:tabs>
          <w:tab w:val="clear" w:pos="1247"/>
          <w:tab w:val="clear" w:pos="1814"/>
          <w:tab w:val="clear" w:pos="2381"/>
          <w:tab w:val="clear" w:pos="2948"/>
          <w:tab w:val="clear" w:pos="3515"/>
          <w:tab w:val="clear" w:pos="4082"/>
        </w:tabs>
        <w:suppressAutoHyphens/>
        <w:autoSpaceDN w:val="0"/>
        <w:ind w:left="1247" w:firstLine="624"/>
        <w:textAlignment w:val="baseline"/>
        <w:rPr>
          <w:lang w:val="es-ES"/>
        </w:rPr>
      </w:pPr>
      <w:r w:rsidRPr="001932F8">
        <w:rPr>
          <w:lang w:val="es-ES"/>
        </w:rPr>
        <w:t xml:space="preserve">Preparar un informe sobre su labor y remitirlo a la Conferencia de las Partes para que esta lo examine en su segunda reunión, incluidas recomendaciones sobre los arreglos de vigilancia y la evaluación de la eficacia. </w:t>
      </w:r>
    </w:p>
    <w:p w14:paraId="67DE5B91" w14:textId="77777777" w:rsidR="007B03D1" w:rsidRPr="001932F8" w:rsidRDefault="007B03D1" w:rsidP="007B03D1">
      <w:pPr>
        <w:pStyle w:val="CH1"/>
        <w:rPr>
          <w:lang w:val="es-ES"/>
        </w:rPr>
      </w:pPr>
      <w:r w:rsidRPr="001932F8">
        <w:rPr>
          <w:lang w:val="es-ES"/>
        </w:rPr>
        <w:tab/>
        <w:t>II.</w:t>
      </w:r>
      <w:r w:rsidRPr="001932F8">
        <w:rPr>
          <w:lang w:val="es-ES"/>
        </w:rPr>
        <w:tab/>
        <w:t>Composición</w:t>
      </w:r>
    </w:p>
    <w:p w14:paraId="586BBAF7" w14:textId="77777777" w:rsidR="007B03D1" w:rsidRPr="001932F8" w:rsidRDefault="007B03D1" w:rsidP="007B03D1">
      <w:pPr>
        <w:pStyle w:val="NormalNonumber"/>
        <w:rPr>
          <w:lang w:val="es-ES"/>
        </w:rPr>
      </w:pPr>
      <w:r w:rsidRPr="001932F8">
        <w:rPr>
          <w:lang w:val="es-ES"/>
        </w:rPr>
        <w:t xml:space="preserve">El grupo especial de expertos estará integrado por 25 expertos designados por los Gobiernos procedentes de las regiones siguientes: </w:t>
      </w:r>
    </w:p>
    <w:p w14:paraId="37F08826" w14:textId="77777777" w:rsidR="007B03D1" w:rsidRPr="001932F8" w:rsidRDefault="007B03D1" w:rsidP="007B03D1">
      <w:pPr>
        <w:pStyle w:val="NormalNonumber"/>
        <w:rPr>
          <w:lang w:val="es-ES"/>
        </w:rPr>
      </w:pPr>
      <w:r w:rsidRPr="001932F8">
        <w:rPr>
          <w:lang w:val="es-ES"/>
        </w:rPr>
        <w:t>Cada región deberá designar al menos tres representantes con conocimientos especializados en arreglos de vigilancia, y al menos un representante con conocimientos especializados en la evaluación de la eficacia.</w:t>
      </w:r>
    </w:p>
    <w:p w14:paraId="21A3DB4B" w14:textId="77777777" w:rsidR="007B03D1" w:rsidRPr="001932F8" w:rsidRDefault="007B03D1" w:rsidP="007B03D1">
      <w:pPr>
        <w:pStyle w:val="NormalNonumber"/>
        <w:ind w:left="1871"/>
        <w:rPr>
          <w:lang w:val="es-ES"/>
        </w:rPr>
      </w:pPr>
      <w:r w:rsidRPr="001932F8">
        <w:rPr>
          <w:lang w:val="es-ES"/>
        </w:rPr>
        <w:t>Estados de África:</w:t>
      </w:r>
      <w:r w:rsidRPr="001932F8">
        <w:rPr>
          <w:lang w:val="es-ES"/>
        </w:rPr>
        <w:tab/>
      </w:r>
      <w:r w:rsidRPr="001932F8">
        <w:rPr>
          <w:lang w:val="es-ES"/>
        </w:rPr>
        <w:tab/>
      </w:r>
      <w:r w:rsidRPr="001932F8">
        <w:rPr>
          <w:lang w:val="es-ES"/>
        </w:rPr>
        <w:tab/>
      </w:r>
      <w:r w:rsidRPr="001932F8">
        <w:rPr>
          <w:lang w:val="es-ES"/>
        </w:rPr>
        <w:tab/>
      </w:r>
      <w:r w:rsidRPr="001932F8">
        <w:rPr>
          <w:lang w:val="es-ES"/>
        </w:rPr>
        <w:tab/>
      </w:r>
      <w:r w:rsidRPr="001932F8">
        <w:rPr>
          <w:lang w:val="es-ES"/>
        </w:rPr>
        <w:tab/>
        <w:t>5</w:t>
      </w:r>
    </w:p>
    <w:p w14:paraId="26209CA5" w14:textId="77777777" w:rsidR="007B03D1" w:rsidRPr="001932F8" w:rsidRDefault="007B03D1" w:rsidP="007B03D1">
      <w:pPr>
        <w:pStyle w:val="NormalNonumber"/>
        <w:ind w:left="1871"/>
        <w:rPr>
          <w:lang w:val="es-ES"/>
        </w:rPr>
      </w:pPr>
      <w:r w:rsidRPr="001932F8">
        <w:rPr>
          <w:lang w:val="es-ES"/>
        </w:rPr>
        <w:t>Estados de América Latina y el Caribe:</w:t>
      </w:r>
      <w:r w:rsidRPr="001932F8">
        <w:rPr>
          <w:lang w:val="es-ES"/>
        </w:rPr>
        <w:tab/>
      </w:r>
      <w:r w:rsidRPr="001932F8">
        <w:rPr>
          <w:lang w:val="es-ES"/>
        </w:rPr>
        <w:tab/>
        <w:t>5</w:t>
      </w:r>
    </w:p>
    <w:p w14:paraId="4C263BF5" w14:textId="77777777" w:rsidR="007B03D1" w:rsidRPr="001932F8" w:rsidRDefault="007B03D1" w:rsidP="007B03D1">
      <w:pPr>
        <w:pStyle w:val="NormalNonumber"/>
        <w:ind w:left="1871"/>
        <w:rPr>
          <w:lang w:val="es-ES"/>
        </w:rPr>
      </w:pPr>
      <w:r w:rsidRPr="001932F8">
        <w:rPr>
          <w:lang w:val="es-ES"/>
        </w:rPr>
        <w:t>Estados de Asia y el Pacífico</w:t>
      </w:r>
      <w:r>
        <w:rPr>
          <w:lang w:val="es-ES"/>
        </w:rPr>
        <w:t>:</w:t>
      </w:r>
      <w:r w:rsidRPr="001932F8">
        <w:rPr>
          <w:lang w:val="es-ES"/>
        </w:rPr>
        <w:tab/>
      </w:r>
      <w:r w:rsidRPr="001932F8">
        <w:rPr>
          <w:lang w:val="es-ES"/>
        </w:rPr>
        <w:tab/>
      </w:r>
      <w:r w:rsidRPr="001932F8">
        <w:rPr>
          <w:lang w:val="es-ES"/>
        </w:rPr>
        <w:tab/>
      </w:r>
      <w:r w:rsidRPr="001932F8">
        <w:rPr>
          <w:lang w:val="es-ES"/>
        </w:rPr>
        <w:tab/>
        <w:t>5</w:t>
      </w:r>
    </w:p>
    <w:p w14:paraId="71D713EC" w14:textId="77777777" w:rsidR="007B03D1" w:rsidRPr="001932F8" w:rsidRDefault="007B03D1" w:rsidP="007B03D1">
      <w:pPr>
        <w:pStyle w:val="NormalNonumber"/>
        <w:ind w:left="1871"/>
        <w:rPr>
          <w:lang w:val="es-ES"/>
        </w:rPr>
      </w:pPr>
      <w:r w:rsidRPr="001932F8">
        <w:rPr>
          <w:lang w:val="es-ES"/>
        </w:rPr>
        <w:t>Estados de Europa Central y Oriental</w:t>
      </w:r>
      <w:r>
        <w:rPr>
          <w:lang w:val="es-ES"/>
        </w:rPr>
        <w:t>:</w:t>
      </w:r>
      <w:r w:rsidRPr="001932F8">
        <w:rPr>
          <w:lang w:val="es-ES"/>
        </w:rPr>
        <w:tab/>
      </w:r>
      <w:r w:rsidRPr="001932F8">
        <w:rPr>
          <w:lang w:val="es-ES"/>
        </w:rPr>
        <w:tab/>
      </w:r>
      <w:r w:rsidRPr="001932F8">
        <w:rPr>
          <w:lang w:val="es-ES"/>
        </w:rPr>
        <w:tab/>
        <w:t>5</w:t>
      </w:r>
    </w:p>
    <w:p w14:paraId="6324307B" w14:textId="77777777" w:rsidR="007B03D1" w:rsidRPr="001932F8" w:rsidRDefault="007B03D1" w:rsidP="007B03D1">
      <w:pPr>
        <w:pStyle w:val="NormalNonumber"/>
        <w:ind w:left="1871"/>
        <w:rPr>
          <w:lang w:val="es-ES"/>
        </w:rPr>
      </w:pPr>
      <w:r w:rsidRPr="001932F8">
        <w:rPr>
          <w:lang w:val="es-ES"/>
        </w:rPr>
        <w:t>Estados de Europa Occidental y otros Estados:</w:t>
      </w:r>
      <w:r w:rsidRPr="001932F8">
        <w:rPr>
          <w:lang w:val="es-ES"/>
        </w:rPr>
        <w:tab/>
      </w:r>
      <w:r w:rsidRPr="001932F8">
        <w:rPr>
          <w:lang w:val="es-ES"/>
        </w:rPr>
        <w:tab/>
        <w:t>5</w:t>
      </w:r>
    </w:p>
    <w:p w14:paraId="7E64C050" w14:textId="77777777" w:rsidR="007B03D1" w:rsidRPr="001932F8" w:rsidRDefault="007B03D1" w:rsidP="007B03D1">
      <w:pPr>
        <w:pStyle w:val="NormalNonumber"/>
        <w:rPr>
          <w:lang w:val="es-ES"/>
        </w:rPr>
      </w:pPr>
      <w:r w:rsidRPr="001932F8">
        <w:rPr>
          <w:lang w:val="es-ES"/>
        </w:rPr>
        <w:t>El grupo invitará a la participación de un máximo de 10 expertos de la sociedad civil, las comunidades indígenas, las organizaciones intergubernamentales, la industria y la Asociación Mundial sobre el Mercurio del PNUMA, en calidad de observadores. Deberá haber una participación equitativa de observados de todos los grupos mencionados.</w:t>
      </w:r>
    </w:p>
    <w:p w14:paraId="7A32B0E6" w14:textId="77777777" w:rsidR="007B03D1" w:rsidRPr="001932F8" w:rsidRDefault="007B03D1" w:rsidP="007B03D1">
      <w:pPr>
        <w:pStyle w:val="NormalNonumber"/>
        <w:rPr>
          <w:lang w:val="es-ES"/>
        </w:rPr>
      </w:pPr>
      <w:r w:rsidRPr="001932F8">
        <w:rPr>
          <w:lang w:val="es-ES"/>
        </w:rPr>
        <w:t xml:space="preserve">El grupo invitará a otros Gobiernos, organizaciones intergubernamentales, las comunidades indígenas, el sector industrial y las organizaciones de la sociedad civil a realizar aportaciones con vistas a ayudarle a completar su labor. </w:t>
      </w:r>
    </w:p>
    <w:p w14:paraId="05B960DE" w14:textId="77777777" w:rsidR="007B03D1" w:rsidRPr="001932F8" w:rsidRDefault="007B03D1" w:rsidP="007B03D1">
      <w:pPr>
        <w:pStyle w:val="CH1"/>
        <w:rPr>
          <w:lang w:val="es-ES"/>
        </w:rPr>
      </w:pPr>
      <w:r w:rsidRPr="001932F8">
        <w:rPr>
          <w:lang w:val="es-ES"/>
        </w:rPr>
        <w:tab/>
        <w:t>III.</w:t>
      </w:r>
      <w:r w:rsidRPr="001932F8">
        <w:rPr>
          <w:lang w:val="es-ES"/>
        </w:rPr>
        <w:tab/>
        <w:t>Cualificaciones que se recomiendan</w:t>
      </w:r>
    </w:p>
    <w:p w14:paraId="33C5DB1F" w14:textId="77777777" w:rsidR="007B03D1" w:rsidRPr="001932F8" w:rsidRDefault="007B03D1" w:rsidP="007B03D1">
      <w:pPr>
        <w:pStyle w:val="NormalNonumber"/>
        <w:rPr>
          <w:lang w:val="es-ES"/>
        </w:rPr>
      </w:pPr>
      <w:r w:rsidRPr="001932F8">
        <w:rPr>
          <w:lang w:val="es-ES"/>
        </w:rPr>
        <w:t>Los miembros y observadores del grupo especial de expertos deberían tener:</w:t>
      </w:r>
    </w:p>
    <w:p w14:paraId="48741020" w14:textId="77777777" w:rsidR="007B03D1" w:rsidRPr="001932F8" w:rsidRDefault="007B03D1" w:rsidP="007B03D1">
      <w:pPr>
        <w:pStyle w:val="Normalnumber"/>
        <w:numPr>
          <w:ilvl w:val="0"/>
          <w:numId w:val="17"/>
        </w:numPr>
        <w:tabs>
          <w:tab w:val="clear" w:pos="568"/>
          <w:tab w:val="clear" w:pos="624"/>
          <w:tab w:val="clear" w:pos="1247"/>
        </w:tabs>
        <w:suppressAutoHyphens/>
        <w:autoSpaceDN w:val="0"/>
        <w:ind w:left="1247" w:firstLine="624"/>
        <w:textAlignment w:val="baseline"/>
        <w:rPr>
          <w:lang w:val="es-ES"/>
        </w:rPr>
      </w:pPr>
      <w:r w:rsidRPr="001932F8">
        <w:rPr>
          <w:lang w:val="es-ES"/>
        </w:rPr>
        <w:t xml:space="preserve">Experiencia pertinente a la elaboración de un plan de vigilancia para la reunión y el análisis de datos de muestreo de mercurio para evaluar las tendencias, que incluya, entre otros, conocimientos especializados en la elaboración de modelos bióticos y acuáticos, en la toma de muestras de la atmósfera o la exposición de los seres humanos, o conocimientos tradicionales indígenas; </w:t>
      </w:r>
    </w:p>
    <w:p w14:paraId="279B69A1" w14:textId="77777777" w:rsidR="007B03D1" w:rsidRPr="001932F8" w:rsidRDefault="007B03D1" w:rsidP="007B03D1">
      <w:pPr>
        <w:pStyle w:val="Normalnumber"/>
        <w:numPr>
          <w:ilvl w:val="0"/>
          <w:numId w:val="17"/>
        </w:numPr>
        <w:tabs>
          <w:tab w:val="clear" w:pos="568"/>
          <w:tab w:val="clear" w:pos="624"/>
          <w:tab w:val="clear" w:pos="1247"/>
        </w:tabs>
        <w:suppressAutoHyphens/>
        <w:autoSpaceDN w:val="0"/>
        <w:ind w:left="1247" w:firstLine="624"/>
        <w:textAlignment w:val="baseline"/>
        <w:rPr>
          <w:lang w:val="es-ES"/>
        </w:rPr>
      </w:pPr>
      <w:r w:rsidRPr="001932F8">
        <w:rPr>
          <w:lang w:val="es-ES"/>
        </w:rPr>
        <w:t>Conocimientos especializados pertinentes a la preparación y ejecución de medidas de vigilancia en el marco de acuerdos ambientales multilaterales, por ejemplo, como el Plan de Vigilancia Mundial en el marco del Convenio de Estocolmo; o</w:t>
      </w:r>
    </w:p>
    <w:p w14:paraId="102FFC57" w14:textId="77777777" w:rsidR="007B03D1" w:rsidRPr="001932F8" w:rsidRDefault="007B03D1" w:rsidP="007B03D1">
      <w:pPr>
        <w:pStyle w:val="Normalnumber"/>
        <w:numPr>
          <w:ilvl w:val="0"/>
          <w:numId w:val="17"/>
        </w:numPr>
        <w:tabs>
          <w:tab w:val="clear" w:pos="568"/>
          <w:tab w:val="clear" w:pos="624"/>
          <w:tab w:val="clear" w:pos="1247"/>
        </w:tabs>
        <w:suppressAutoHyphens/>
        <w:autoSpaceDN w:val="0"/>
        <w:ind w:left="1247" w:firstLine="624"/>
        <w:textAlignment w:val="baseline"/>
        <w:rPr>
          <w:lang w:val="es-ES"/>
        </w:rPr>
      </w:pPr>
      <w:r w:rsidRPr="001932F8">
        <w:rPr>
          <w:lang w:val="es-ES"/>
        </w:rPr>
        <w:t>Experiencia pertinente a la evaluación de la eficacia.</w:t>
      </w:r>
    </w:p>
    <w:p w14:paraId="1BF04796" w14:textId="77777777" w:rsidR="007B03D1" w:rsidRPr="001932F8" w:rsidRDefault="007B03D1" w:rsidP="007B03D1">
      <w:pPr>
        <w:pStyle w:val="CH1"/>
        <w:rPr>
          <w:bCs/>
          <w:lang w:val="es-ES"/>
        </w:rPr>
      </w:pPr>
      <w:r w:rsidRPr="001932F8">
        <w:rPr>
          <w:lang w:val="es-ES"/>
        </w:rPr>
        <w:tab/>
        <w:t>IV.</w:t>
      </w:r>
      <w:r w:rsidRPr="001932F8">
        <w:rPr>
          <w:lang w:val="es-ES"/>
        </w:rPr>
        <w:tab/>
        <w:t>Mesa</w:t>
      </w:r>
    </w:p>
    <w:p w14:paraId="6BF6FEE3" w14:textId="77777777" w:rsidR="007B03D1" w:rsidRPr="001932F8" w:rsidRDefault="007B03D1" w:rsidP="007B03D1">
      <w:pPr>
        <w:pStyle w:val="NormalNonumber"/>
        <w:rPr>
          <w:lang w:val="es-ES"/>
        </w:rPr>
      </w:pPr>
      <w:r w:rsidRPr="001932F8">
        <w:rPr>
          <w:lang w:val="es-ES"/>
        </w:rPr>
        <w:t xml:space="preserve">El grupo especial de expertos elegirá dos copresidentes para facilitar la reunión. </w:t>
      </w:r>
    </w:p>
    <w:p w14:paraId="7D9D298C" w14:textId="77777777" w:rsidR="007B03D1" w:rsidRPr="001932F8" w:rsidRDefault="007B03D1" w:rsidP="007B03D1">
      <w:pPr>
        <w:pStyle w:val="CH1"/>
        <w:rPr>
          <w:lang w:val="es-ES"/>
        </w:rPr>
      </w:pPr>
      <w:r w:rsidRPr="001932F8">
        <w:rPr>
          <w:lang w:val="es-ES"/>
        </w:rPr>
        <w:lastRenderedPageBreak/>
        <w:tab/>
        <w:t>V.</w:t>
      </w:r>
      <w:r w:rsidRPr="001932F8">
        <w:rPr>
          <w:lang w:val="es-ES"/>
        </w:rPr>
        <w:tab/>
        <w:t>Secretaría</w:t>
      </w:r>
    </w:p>
    <w:p w14:paraId="114FCD08" w14:textId="77777777" w:rsidR="007B03D1" w:rsidRPr="001932F8" w:rsidRDefault="007B03D1" w:rsidP="007B03D1">
      <w:pPr>
        <w:pStyle w:val="NormalNonumber"/>
        <w:rPr>
          <w:lang w:val="es-ES"/>
        </w:rPr>
      </w:pPr>
      <w:r w:rsidRPr="001932F8">
        <w:rPr>
          <w:lang w:val="es-ES"/>
        </w:rPr>
        <w:t>La Secretaría proporcionará apoyo administrativo al grupo especial de expertos.</w:t>
      </w:r>
    </w:p>
    <w:p w14:paraId="3D797869" w14:textId="77777777" w:rsidR="007B03D1" w:rsidRPr="001932F8" w:rsidRDefault="007B03D1" w:rsidP="007B03D1">
      <w:pPr>
        <w:pStyle w:val="CH1"/>
        <w:rPr>
          <w:lang w:val="es-ES"/>
        </w:rPr>
      </w:pPr>
      <w:r w:rsidRPr="001932F8">
        <w:rPr>
          <w:lang w:val="es-ES"/>
        </w:rPr>
        <w:tab/>
        <w:t>VI.</w:t>
      </w:r>
      <w:r w:rsidRPr="001932F8">
        <w:rPr>
          <w:lang w:val="es-ES"/>
        </w:rPr>
        <w:tab/>
        <w:t>Cuestiones administrativas y de procedimiento</w:t>
      </w:r>
    </w:p>
    <w:p w14:paraId="780D1913" w14:textId="77777777" w:rsidR="007B03D1" w:rsidRPr="001932F8" w:rsidRDefault="007B03D1" w:rsidP="007B03D1">
      <w:pPr>
        <w:pStyle w:val="NormalNonumber"/>
        <w:rPr>
          <w:lang w:val="es-ES"/>
        </w:rPr>
      </w:pPr>
      <w:r w:rsidRPr="001932F8">
        <w:rPr>
          <w:lang w:val="es-ES"/>
        </w:rPr>
        <w:t xml:space="preserve">El reglamento de la Conferencia de las Partes se aplicará </w:t>
      </w:r>
      <w:r w:rsidRPr="001932F8">
        <w:rPr>
          <w:i/>
          <w:lang w:val="es-ES"/>
        </w:rPr>
        <w:t>mutatis mutandis</w:t>
      </w:r>
      <w:r w:rsidRPr="001932F8">
        <w:rPr>
          <w:lang w:val="es-ES"/>
        </w:rPr>
        <w:t xml:space="preserve"> al grupo especial de expertos.</w:t>
      </w:r>
    </w:p>
    <w:p w14:paraId="2987F24D" w14:textId="77777777" w:rsidR="007B03D1" w:rsidRPr="001932F8" w:rsidRDefault="007B03D1" w:rsidP="007B03D1">
      <w:pPr>
        <w:pStyle w:val="CH1"/>
        <w:rPr>
          <w:lang w:val="es-ES"/>
        </w:rPr>
      </w:pPr>
      <w:r w:rsidRPr="001932F8">
        <w:rPr>
          <w:lang w:val="es-ES"/>
        </w:rPr>
        <w:tab/>
        <w:t>VII.</w:t>
      </w:r>
      <w:r w:rsidRPr="001932F8">
        <w:rPr>
          <w:lang w:val="es-ES"/>
        </w:rPr>
        <w:tab/>
        <w:t>Reuniones</w:t>
      </w:r>
    </w:p>
    <w:p w14:paraId="5F674C50" w14:textId="77777777" w:rsidR="007B03D1" w:rsidRPr="001932F8" w:rsidRDefault="007B03D1" w:rsidP="007B03D1">
      <w:pPr>
        <w:pStyle w:val="NormalNonumber"/>
        <w:rPr>
          <w:lang w:val="es-ES"/>
        </w:rPr>
      </w:pPr>
      <w:r w:rsidRPr="001932F8">
        <w:rPr>
          <w:lang w:val="es-ES"/>
        </w:rPr>
        <w:t>El grupo especial de expertos celebrará una reunión presencial, y otras a través de teleconferencia o seminarios web, antes de la segunda reunión de la Conferencia de las Partes.</w:t>
      </w:r>
    </w:p>
    <w:p w14:paraId="18E778D3" w14:textId="77777777" w:rsidR="007B03D1" w:rsidRPr="001932F8" w:rsidRDefault="007B03D1" w:rsidP="007B03D1">
      <w:pPr>
        <w:pStyle w:val="CH1"/>
        <w:rPr>
          <w:lang w:val="es-ES"/>
        </w:rPr>
      </w:pPr>
      <w:r w:rsidRPr="001932F8">
        <w:rPr>
          <w:lang w:val="es-ES"/>
        </w:rPr>
        <w:tab/>
        <w:t>VIII.</w:t>
      </w:r>
      <w:r w:rsidRPr="001932F8">
        <w:rPr>
          <w:lang w:val="es-ES"/>
        </w:rPr>
        <w:tab/>
        <w:t>Idioma</w:t>
      </w:r>
    </w:p>
    <w:p w14:paraId="0312EF61" w14:textId="77777777" w:rsidR="007B03D1" w:rsidRPr="001932F8" w:rsidRDefault="007B03D1" w:rsidP="007B03D1">
      <w:pPr>
        <w:pStyle w:val="NormalNonumber"/>
        <w:rPr>
          <w:u w:color="FF0000"/>
          <w:lang w:val="es-ES"/>
        </w:rPr>
      </w:pPr>
      <w:r w:rsidRPr="001932F8">
        <w:rPr>
          <w:lang w:val="es-ES"/>
        </w:rPr>
        <w:t>El inglés será el idioma de trabajo del grupo especial de expertos. El informe del grupo especial de expertos a la Conferencia de las Partes se traducirá al árabe, el chino, el español, el francés y el ruso.</w:t>
      </w:r>
    </w:p>
    <w:p w14:paraId="43D9FF6C" w14:textId="2DE51107" w:rsidR="007B03D1" w:rsidRPr="007B6B36" w:rsidRDefault="007B03D1" w:rsidP="007B03D1">
      <w:pPr>
        <w:pStyle w:val="Heading1"/>
        <w:ind w:left="0" w:firstLine="0"/>
        <w:rPr>
          <w:lang w:val="es-ES"/>
        </w:rPr>
      </w:pPr>
    </w:p>
    <w:p w14:paraId="533807B3" w14:textId="38845819" w:rsidR="009E64B0" w:rsidRPr="007B6B36" w:rsidRDefault="009E64B0" w:rsidP="007B6B36">
      <w:pPr>
        <w:pStyle w:val="Normalnumber"/>
        <w:tabs>
          <w:tab w:val="clear" w:pos="624"/>
        </w:tabs>
        <w:rPr>
          <w:lang w:val="es-ES"/>
        </w:rPr>
      </w:pPr>
    </w:p>
    <w:sectPr w:rsidR="009E64B0" w:rsidRPr="007B6B36" w:rsidSect="00C450D1">
      <w:headerReference w:type="even" r:id="rId13"/>
      <w:headerReference w:type="default" r:id="rId14"/>
      <w:headerReference w:type="first" r:id="rId15"/>
      <w:footnotePr>
        <w:numRestart w:val="eachSect"/>
      </w:footnotePr>
      <w:pgSz w:w="11900" w:h="16840" w:code="9"/>
      <w:pgMar w:top="907" w:right="992" w:bottom="1418" w:left="1418" w:header="539" w:footer="9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5717D" w14:textId="77777777" w:rsidR="00741D8E" w:rsidRDefault="00741D8E">
      <w:r>
        <w:separator/>
      </w:r>
    </w:p>
  </w:endnote>
  <w:endnote w:type="continuationSeparator" w:id="0">
    <w:p w14:paraId="428F1EA7" w14:textId="77777777" w:rsidR="00741D8E" w:rsidRDefault="00741D8E">
      <w:r>
        <w:continuationSeparator/>
      </w:r>
    </w:p>
  </w:endnote>
  <w:endnote w:type="continuationNotice" w:id="1">
    <w:p w14:paraId="6733BD8A" w14:textId="77777777" w:rsidR="00741D8E" w:rsidRDefault="00741D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Helvetica Neue">
    <w:altName w:val="Arial"/>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2CEDA0" w14:textId="77777777" w:rsidR="00741D8E" w:rsidRPr="008D1ED6" w:rsidRDefault="00741D8E" w:rsidP="00951B3D">
      <w:pPr>
        <w:tabs>
          <w:tab w:val="clear" w:pos="1247"/>
          <w:tab w:val="clear" w:pos="1814"/>
          <w:tab w:val="clear" w:pos="2381"/>
          <w:tab w:val="clear" w:pos="2948"/>
          <w:tab w:val="clear" w:pos="3515"/>
          <w:tab w:val="left" w:pos="624"/>
        </w:tabs>
        <w:spacing w:before="20" w:after="40"/>
        <w:ind w:left="624"/>
        <w:rPr>
          <w:sz w:val="18"/>
          <w:szCs w:val="18"/>
        </w:rPr>
      </w:pPr>
      <w:r w:rsidRPr="008D1ED6">
        <w:rPr>
          <w:sz w:val="18"/>
          <w:szCs w:val="18"/>
        </w:rPr>
        <w:separator/>
      </w:r>
    </w:p>
  </w:footnote>
  <w:footnote w:type="continuationSeparator" w:id="0">
    <w:p w14:paraId="73B21A5D" w14:textId="77777777" w:rsidR="00741D8E" w:rsidRDefault="00741D8E">
      <w:r>
        <w:continuationSeparator/>
      </w:r>
    </w:p>
  </w:footnote>
  <w:footnote w:type="continuationNotice" w:id="1">
    <w:p w14:paraId="2BBAAD0A" w14:textId="77777777" w:rsidR="00741D8E" w:rsidRDefault="00741D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98387" w14:textId="11F3294E" w:rsidR="00454804" w:rsidRPr="00417FE2" w:rsidRDefault="00454804">
    <w:pPr>
      <w:pStyle w:val="Header"/>
      <w:rPr>
        <w:szCs w:val="18"/>
      </w:rPr>
    </w:pPr>
    <w:r w:rsidRPr="009C52E8">
      <w:rPr>
        <w:bCs/>
        <w:szCs w:val="18"/>
      </w:rPr>
      <w:t>UNEP</w:t>
    </w:r>
    <w:r w:rsidRPr="009C52E8">
      <w:rPr>
        <w:szCs w:val="18"/>
      </w:rPr>
      <w:t>/MC/COP.</w:t>
    </w:r>
    <w:r w:rsidR="00DE34BD">
      <w:rPr>
        <w:szCs w:val="18"/>
      </w:rPr>
      <w:t>1</w:t>
    </w:r>
    <w:r w:rsidRPr="009C52E8">
      <w:rPr>
        <w:szCs w:val="18"/>
      </w:rPr>
      <w:t>/</w:t>
    </w:r>
    <w:r w:rsidR="00367391">
      <w:rPr>
        <w:szCs w:val="18"/>
      </w:rPr>
      <w:t>Dec.</w:t>
    </w:r>
    <w:r w:rsidR="007B03D1">
      <w:rPr>
        <w:szCs w:val="18"/>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D5B4E" w14:textId="674CFDE1" w:rsidR="00454804" w:rsidRPr="00417FE2" w:rsidRDefault="00454804" w:rsidP="00417FE2">
    <w:pPr>
      <w:pStyle w:val="Header"/>
      <w:jc w:val="right"/>
      <w:rPr>
        <w:szCs w:val="18"/>
      </w:rPr>
    </w:pPr>
    <w:r w:rsidRPr="009C52E8">
      <w:rPr>
        <w:bCs/>
        <w:szCs w:val="18"/>
      </w:rPr>
      <w:t>UNEP</w:t>
    </w:r>
    <w:r w:rsidRPr="009C52E8">
      <w:rPr>
        <w:szCs w:val="18"/>
      </w:rPr>
      <w:t>/MC/COP.</w:t>
    </w:r>
    <w:r w:rsidR="00A03799">
      <w:rPr>
        <w:szCs w:val="18"/>
      </w:rPr>
      <w:t>1</w:t>
    </w:r>
    <w:r w:rsidRPr="009C52E8">
      <w:rPr>
        <w:szCs w:val="18"/>
      </w:rPr>
      <w:t>/</w:t>
    </w:r>
    <w:r w:rsidR="00367391">
      <w:rPr>
        <w:szCs w:val="18"/>
      </w:rPr>
      <w:t>Dec.</w:t>
    </w:r>
    <w:r w:rsidR="007B03D1">
      <w:rPr>
        <w:szCs w:val="18"/>
      </w:rPr>
      <w:t>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89D83" w14:textId="46C09815" w:rsidR="00454804" w:rsidRPr="003F4DA7" w:rsidRDefault="00454804" w:rsidP="00FE7E26">
    <w:pPr>
      <w:pStyle w:val="Header"/>
      <w:rPr>
        <w:szCs w:val="18"/>
      </w:rPr>
    </w:pPr>
    <w:r w:rsidRPr="009C52E8">
      <w:rPr>
        <w:bCs/>
        <w:szCs w:val="18"/>
      </w:rPr>
      <w:t>UNEP</w:t>
    </w:r>
    <w:r w:rsidRPr="009C52E8">
      <w:rPr>
        <w:szCs w:val="18"/>
      </w:rPr>
      <w:t>/MC/COP.3/</w:t>
    </w:r>
    <w:r w:rsidR="001863B5">
      <w:rPr>
        <w:szCs w:val="18"/>
      </w:rPr>
      <w:t>Dec.1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188B"/>
    <w:multiLevelType w:val="hybridMultilevel"/>
    <w:tmpl w:val="7436C15A"/>
    <w:styleLink w:val="Importovanstyl4"/>
    <w:lvl w:ilvl="0" w:tplc="2C700ACA">
      <w:start w:val="1"/>
      <w:numFmt w:val="lowerLetter"/>
      <w:lvlText w:val="%1)"/>
      <w:lvlJc w:val="left"/>
      <w:pPr>
        <w:tabs>
          <w:tab w:val="left" w:pos="1247"/>
          <w:tab w:val="left" w:pos="1814"/>
          <w:tab w:val="left" w:pos="2381"/>
          <w:tab w:val="left" w:pos="2948"/>
          <w:tab w:val="left" w:pos="3515"/>
          <w:tab w:val="left" w:pos="4082"/>
        </w:tabs>
        <w:ind w:left="9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F8A004">
      <w:start w:val="1"/>
      <w:numFmt w:val="aiueoFullWidth"/>
      <w:lvlText w:val="(%2)"/>
      <w:lvlJc w:val="left"/>
      <w:pPr>
        <w:tabs>
          <w:tab w:val="right" w:pos="900"/>
          <w:tab w:val="left" w:pos="1247"/>
          <w:tab w:val="left" w:pos="1814"/>
          <w:tab w:val="left" w:pos="2381"/>
          <w:tab w:val="left" w:pos="2948"/>
          <w:tab w:val="left" w:pos="3515"/>
          <w:tab w:val="left" w:pos="4082"/>
        </w:tabs>
        <w:ind w:left="1020" w:hanging="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7C9A7C">
      <w:start w:val="1"/>
      <w:numFmt w:val="decimalEnclosedCircle"/>
      <w:lvlText w:val="%3"/>
      <w:lvlJc w:val="left"/>
      <w:pPr>
        <w:tabs>
          <w:tab w:val="right" w:pos="900"/>
          <w:tab w:val="left" w:pos="1814"/>
          <w:tab w:val="left" w:pos="2381"/>
          <w:tab w:val="left" w:pos="2948"/>
          <w:tab w:val="left" w:pos="3515"/>
          <w:tab w:val="left" w:pos="4082"/>
        </w:tabs>
        <w:ind w:left="1440" w:hanging="43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D65910">
      <w:start w:val="1"/>
      <w:numFmt w:val="decimal"/>
      <w:lvlText w:val="%4."/>
      <w:lvlJc w:val="left"/>
      <w:pPr>
        <w:tabs>
          <w:tab w:val="right" w:pos="900"/>
          <w:tab w:val="left" w:pos="1247"/>
          <w:tab w:val="left" w:pos="2381"/>
          <w:tab w:val="left" w:pos="2948"/>
          <w:tab w:val="left" w:pos="3515"/>
          <w:tab w:val="left" w:pos="4082"/>
        </w:tabs>
        <w:ind w:left="1860" w:hanging="58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522482">
      <w:start w:val="1"/>
      <w:numFmt w:val="aiueoFullWidth"/>
      <w:suff w:val="nothing"/>
      <w:lvlText w:val="(%5)"/>
      <w:lvlJc w:val="left"/>
      <w:pPr>
        <w:tabs>
          <w:tab w:val="right" w:pos="900"/>
          <w:tab w:val="left" w:pos="1247"/>
          <w:tab w:val="left" w:pos="1814"/>
          <w:tab w:val="left" w:pos="2381"/>
          <w:tab w:val="left" w:pos="2948"/>
          <w:tab w:val="left" w:pos="3515"/>
          <w:tab w:val="left" w:pos="4082"/>
        </w:tabs>
        <w:ind w:left="2280" w:hanging="1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DCAFF0">
      <w:start w:val="1"/>
      <w:numFmt w:val="decimalEnclosedCircle"/>
      <w:lvlText w:val="%6"/>
      <w:lvlJc w:val="left"/>
      <w:pPr>
        <w:tabs>
          <w:tab w:val="right" w:pos="900"/>
          <w:tab w:val="left" w:pos="1247"/>
          <w:tab w:val="left" w:pos="1814"/>
          <w:tab w:val="left" w:pos="2381"/>
          <w:tab w:val="left" w:pos="2948"/>
          <w:tab w:val="left" w:pos="3515"/>
          <w:tab w:val="left" w:pos="4082"/>
        </w:tabs>
        <w:ind w:left="2700" w:hanging="30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0C1BC6">
      <w:start w:val="1"/>
      <w:numFmt w:val="decimal"/>
      <w:lvlText w:val="%7."/>
      <w:lvlJc w:val="left"/>
      <w:pPr>
        <w:tabs>
          <w:tab w:val="right" w:pos="900"/>
          <w:tab w:val="left" w:pos="1247"/>
          <w:tab w:val="left" w:pos="1814"/>
          <w:tab w:val="left" w:pos="2381"/>
          <w:tab w:val="left" w:pos="3515"/>
          <w:tab w:val="left" w:pos="4082"/>
        </w:tabs>
        <w:ind w:left="3120" w:hanging="45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42991C">
      <w:start w:val="1"/>
      <w:numFmt w:val="aiueoFullWidth"/>
      <w:lvlText w:val="(%8)"/>
      <w:lvlJc w:val="left"/>
      <w:pPr>
        <w:tabs>
          <w:tab w:val="right" w:pos="900"/>
          <w:tab w:val="left" w:pos="1247"/>
          <w:tab w:val="left" w:pos="1814"/>
          <w:tab w:val="left" w:pos="2381"/>
          <w:tab w:val="left" w:pos="2948"/>
          <w:tab w:val="left" w:pos="4082"/>
        </w:tabs>
        <w:ind w:left="3540" w:hanging="60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94FD08">
      <w:start w:val="1"/>
      <w:numFmt w:val="decimalEnclosedCircle"/>
      <w:lvlText w:val="%9"/>
      <w:lvlJc w:val="left"/>
      <w:pPr>
        <w:tabs>
          <w:tab w:val="right" w:pos="900"/>
          <w:tab w:val="left" w:pos="1247"/>
          <w:tab w:val="left" w:pos="1814"/>
          <w:tab w:val="left" w:pos="2381"/>
          <w:tab w:val="left" w:pos="2948"/>
          <w:tab w:val="left" w:pos="3515"/>
          <w:tab w:val="left" w:pos="4082"/>
        </w:tabs>
        <w:ind w:left="3960" w:hanging="18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5D1585F"/>
    <w:multiLevelType w:val="hybridMultilevel"/>
    <w:tmpl w:val="1FF0901A"/>
    <w:styleLink w:val="ImportedStyle2"/>
    <w:lvl w:ilvl="0" w:tplc="E35276A8">
      <w:start w:val="1"/>
      <w:numFmt w:val="decimal"/>
      <w:lvlText w:val="%1."/>
      <w:lvlJc w:val="left"/>
      <w:pPr>
        <w:tabs>
          <w:tab w:val="left" w:pos="1021"/>
          <w:tab w:val="left" w:pos="1134"/>
          <w:tab w:val="num" w:pos="1843"/>
        </w:tabs>
        <w:ind w:left="1134"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C62F14">
      <w:start w:val="1"/>
      <w:numFmt w:val="lowerLetter"/>
      <w:lvlText w:val="%2."/>
      <w:lvlJc w:val="left"/>
      <w:pPr>
        <w:tabs>
          <w:tab w:val="left" w:pos="1021"/>
          <w:tab w:val="left" w:pos="1134"/>
          <w:tab w:val="left" w:pos="1843"/>
          <w:tab w:val="num" w:pos="2149"/>
        </w:tabs>
        <w:ind w:left="14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CACF9E">
      <w:start w:val="1"/>
      <w:numFmt w:val="lowerRoman"/>
      <w:lvlText w:val="%3."/>
      <w:lvlJc w:val="left"/>
      <w:pPr>
        <w:tabs>
          <w:tab w:val="left" w:pos="1021"/>
          <w:tab w:val="left" w:pos="1134"/>
          <w:tab w:val="left" w:pos="1843"/>
          <w:tab w:val="num" w:pos="2869"/>
        </w:tabs>
        <w:ind w:left="216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A0222E">
      <w:start w:val="1"/>
      <w:numFmt w:val="decimal"/>
      <w:lvlText w:val="%4."/>
      <w:lvlJc w:val="left"/>
      <w:pPr>
        <w:tabs>
          <w:tab w:val="left" w:pos="1021"/>
          <w:tab w:val="left" w:pos="1134"/>
          <w:tab w:val="left" w:pos="1843"/>
          <w:tab w:val="num" w:pos="3589"/>
        </w:tabs>
        <w:ind w:left="288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EC1EB0">
      <w:start w:val="1"/>
      <w:numFmt w:val="lowerLetter"/>
      <w:lvlText w:val="%5."/>
      <w:lvlJc w:val="left"/>
      <w:pPr>
        <w:tabs>
          <w:tab w:val="left" w:pos="1021"/>
          <w:tab w:val="left" w:pos="1134"/>
          <w:tab w:val="left" w:pos="1843"/>
          <w:tab w:val="num" w:pos="4309"/>
        </w:tabs>
        <w:ind w:left="360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52E044">
      <w:start w:val="1"/>
      <w:numFmt w:val="lowerRoman"/>
      <w:lvlText w:val="%6."/>
      <w:lvlJc w:val="left"/>
      <w:pPr>
        <w:tabs>
          <w:tab w:val="left" w:pos="1021"/>
          <w:tab w:val="left" w:pos="1134"/>
          <w:tab w:val="left" w:pos="1843"/>
          <w:tab w:val="num" w:pos="5029"/>
        </w:tabs>
        <w:ind w:left="432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94F072">
      <w:start w:val="1"/>
      <w:numFmt w:val="decimal"/>
      <w:lvlText w:val="%7."/>
      <w:lvlJc w:val="left"/>
      <w:pPr>
        <w:tabs>
          <w:tab w:val="left" w:pos="1021"/>
          <w:tab w:val="left" w:pos="1134"/>
          <w:tab w:val="left" w:pos="1843"/>
          <w:tab w:val="num" w:pos="5749"/>
        </w:tabs>
        <w:ind w:left="50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865EC0">
      <w:start w:val="1"/>
      <w:numFmt w:val="lowerLetter"/>
      <w:lvlText w:val="%8."/>
      <w:lvlJc w:val="left"/>
      <w:pPr>
        <w:tabs>
          <w:tab w:val="left" w:pos="1021"/>
          <w:tab w:val="left" w:pos="1134"/>
          <w:tab w:val="left" w:pos="1843"/>
          <w:tab w:val="num" w:pos="6469"/>
        </w:tabs>
        <w:ind w:left="576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C4506E">
      <w:start w:val="1"/>
      <w:numFmt w:val="lowerRoman"/>
      <w:lvlText w:val="%9."/>
      <w:lvlJc w:val="left"/>
      <w:pPr>
        <w:tabs>
          <w:tab w:val="left" w:pos="1021"/>
          <w:tab w:val="left" w:pos="1134"/>
          <w:tab w:val="left" w:pos="1843"/>
          <w:tab w:val="num" w:pos="7189"/>
        </w:tabs>
        <w:ind w:left="648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8182059"/>
    <w:multiLevelType w:val="multilevel"/>
    <w:tmpl w:val="6A743C6C"/>
    <w:lvl w:ilvl="0">
      <w:start w:val="1"/>
      <w:numFmt w:val="lowerLetter"/>
      <w:lvlText w:val="(%1)"/>
      <w:lvlJc w:val="left"/>
      <w:pPr>
        <w:tabs>
          <w:tab w:val="num" w:pos="568"/>
        </w:tabs>
        <w:ind w:left="1248" w:firstLine="0"/>
      </w:pPr>
      <w:rPr>
        <w:rFonts w:hint="default"/>
      </w:rPr>
    </w:lvl>
    <w:lvl w:ilvl="1">
      <w:start w:val="1"/>
      <w:numFmt w:val="lowerLetter"/>
      <w:lvlText w:val="(%2)"/>
      <w:lvlJc w:val="left"/>
      <w:pPr>
        <w:tabs>
          <w:tab w:val="num" w:pos="568"/>
        </w:tabs>
        <w:ind w:left="1248" w:firstLine="567"/>
      </w:pPr>
      <w:rPr>
        <w:rFonts w:hint="default"/>
      </w:rPr>
    </w:lvl>
    <w:lvl w:ilvl="2">
      <w:start w:val="1"/>
      <w:numFmt w:val="lowerRoman"/>
      <w:lvlText w:val="(%3)"/>
      <w:lvlJc w:val="left"/>
      <w:pPr>
        <w:tabs>
          <w:tab w:val="num" w:pos="568"/>
        </w:tabs>
        <w:ind w:left="2949" w:hanging="567"/>
      </w:pPr>
      <w:rPr>
        <w:rFonts w:hint="default"/>
      </w:rPr>
    </w:lvl>
    <w:lvl w:ilvl="3">
      <w:start w:val="1"/>
      <w:numFmt w:val="lowerLetter"/>
      <w:lvlText w:val="%4."/>
      <w:lvlJc w:val="left"/>
      <w:pPr>
        <w:tabs>
          <w:tab w:val="num" w:pos="568"/>
        </w:tabs>
        <w:ind w:left="3516" w:hanging="567"/>
      </w:pPr>
      <w:rPr>
        <w:rFonts w:hint="default"/>
      </w:rPr>
    </w:lvl>
    <w:lvl w:ilvl="4">
      <w:start w:val="1"/>
      <w:numFmt w:val="lowerLetter"/>
      <w:lvlText w:val="%5."/>
      <w:lvlJc w:val="left"/>
      <w:pPr>
        <w:tabs>
          <w:tab w:val="num" w:pos="6549"/>
        </w:tabs>
        <w:ind w:left="6549" w:hanging="360"/>
      </w:pPr>
      <w:rPr>
        <w:rFonts w:hint="default"/>
      </w:rPr>
    </w:lvl>
    <w:lvl w:ilvl="5">
      <w:start w:val="1"/>
      <w:numFmt w:val="lowerRoman"/>
      <w:lvlText w:val="%6."/>
      <w:lvlJc w:val="right"/>
      <w:pPr>
        <w:tabs>
          <w:tab w:val="num" w:pos="7269"/>
        </w:tabs>
        <w:ind w:left="7269" w:hanging="180"/>
      </w:pPr>
      <w:rPr>
        <w:rFonts w:hint="default"/>
      </w:rPr>
    </w:lvl>
    <w:lvl w:ilvl="6">
      <w:start w:val="1"/>
      <w:numFmt w:val="decimal"/>
      <w:lvlText w:val="%7."/>
      <w:lvlJc w:val="left"/>
      <w:pPr>
        <w:tabs>
          <w:tab w:val="num" w:pos="7989"/>
        </w:tabs>
        <w:ind w:left="7989" w:hanging="360"/>
      </w:pPr>
      <w:rPr>
        <w:rFonts w:hint="default"/>
      </w:rPr>
    </w:lvl>
    <w:lvl w:ilvl="7">
      <w:start w:val="1"/>
      <w:numFmt w:val="lowerLetter"/>
      <w:lvlText w:val="%8."/>
      <w:lvlJc w:val="left"/>
      <w:pPr>
        <w:tabs>
          <w:tab w:val="num" w:pos="8709"/>
        </w:tabs>
        <w:ind w:left="8709" w:hanging="360"/>
      </w:pPr>
      <w:rPr>
        <w:rFonts w:hint="default"/>
      </w:rPr>
    </w:lvl>
    <w:lvl w:ilvl="8">
      <w:start w:val="1"/>
      <w:numFmt w:val="lowerRoman"/>
      <w:lvlText w:val="%9."/>
      <w:lvlJc w:val="right"/>
      <w:pPr>
        <w:tabs>
          <w:tab w:val="num" w:pos="9429"/>
        </w:tabs>
        <w:ind w:left="9429" w:hanging="180"/>
      </w:pPr>
      <w:rPr>
        <w:rFonts w:hint="default"/>
      </w:rPr>
    </w:lvl>
  </w:abstractNum>
  <w:abstractNum w:abstractNumId="3" w15:restartNumberingAfterBreak="0">
    <w:nsid w:val="099B404A"/>
    <w:multiLevelType w:val="hybridMultilevel"/>
    <w:tmpl w:val="7E422F62"/>
    <w:lvl w:ilvl="0" w:tplc="04090017">
      <w:start w:val="1"/>
      <w:numFmt w:val="lowerLetter"/>
      <w:lvlText w:val="%1)"/>
      <w:lvlJc w:val="left"/>
      <w:pPr>
        <w:ind w:left="2591" w:hanging="360"/>
      </w:pPr>
      <w:rPr>
        <w:rFonts w:hint="default"/>
      </w:rPr>
    </w:lvl>
    <w:lvl w:ilvl="1" w:tplc="04090019" w:tentative="1">
      <w:start w:val="1"/>
      <w:numFmt w:val="lowerLetter"/>
      <w:lvlText w:val="%2."/>
      <w:lvlJc w:val="left"/>
      <w:pPr>
        <w:ind w:left="3311" w:hanging="360"/>
      </w:p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4"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5" w15:restartNumberingAfterBreak="0">
    <w:nsid w:val="23884FA4"/>
    <w:multiLevelType w:val="hybridMultilevel"/>
    <w:tmpl w:val="00AE56BA"/>
    <w:styleLink w:val="Normallist5"/>
    <w:lvl w:ilvl="0" w:tplc="ACBAD100">
      <w:start w:val="1"/>
      <w:numFmt w:val="lowerLetter"/>
      <w:lvlText w:val="(%1)"/>
      <w:lvlJc w:val="left"/>
      <w:pPr>
        <w:tabs>
          <w:tab w:val="num" w:pos="624"/>
          <w:tab w:val="left" w:pos="1247"/>
          <w:tab w:val="left" w:pos="1814"/>
          <w:tab w:val="left" w:pos="2381"/>
          <w:tab w:val="left" w:pos="2948"/>
          <w:tab w:val="left" w:pos="351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BA8CCE">
      <w:start w:val="1"/>
      <w:numFmt w:val="aiueoFullWidth"/>
      <w:lvlText w:val="(%2)"/>
      <w:lvlJc w:val="left"/>
      <w:pPr>
        <w:tabs>
          <w:tab w:val="left" w:pos="624"/>
          <w:tab w:val="num" w:pos="1140"/>
          <w:tab w:val="left" w:pos="1247"/>
          <w:tab w:val="left" w:pos="1814"/>
          <w:tab w:val="left" w:pos="2381"/>
          <w:tab w:val="left" w:pos="2948"/>
          <w:tab w:val="left" w:pos="3515"/>
        </w:tabs>
        <w:ind w:left="12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7EA8E6">
      <w:start w:val="1"/>
      <w:numFmt w:val="decimalEnclosedCircle"/>
      <w:lvlText w:val="%3"/>
      <w:lvlJc w:val="left"/>
      <w:pPr>
        <w:tabs>
          <w:tab w:val="left" w:pos="624"/>
          <w:tab w:val="left" w:pos="1247"/>
          <w:tab w:val="num" w:pos="1560"/>
          <w:tab w:val="left" w:pos="1814"/>
          <w:tab w:val="left" w:pos="2381"/>
          <w:tab w:val="left" w:pos="2948"/>
          <w:tab w:val="left" w:pos="3515"/>
        </w:tabs>
        <w:ind w:left="165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48F822">
      <w:start w:val="1"/>
      <w:numFmt w:val="decimal"/>
      <w:lvlText w:val="%4."/>
      <w:lvlJc w:val="left"/>
      <w:pPr>
        <w:tabs>
          <w:tab w:val="left" w:pos="624"/>
          <w:tab w:val="left" w:pos="1247"/>
          <w:tab w:val="num" w:pos="1814"/>
          <w:tab w:val="left" w:pos="2381"/>
          <w:tab w:val="left" w:pos="2948"/>
          <w:tab w:val="left" w:pos="3515"/>
        </w:tabs>
        <w:ind w:left="191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7C447CC">
      <w:start w:val="1"/>
      <w:numFmt w:val="aiueoFullWidth"/>
      <w:lvlText w:val="(%5)"/>
      <w:lvlJc w:val="left"/>
      <w:pPr>
        <w:tabs>
          <w:tab w:val="left" w:pos="624"/>
          <w:tab w:val="left" w:pos="1247"/>
          <w:tab w:val="left" w:pos="1814"/>
          <w:tab w:val="num" w:pos="2381"/>
          <w:tab w:val="left" w:pos="2948"/>
          <w:tab w:val="left" w:pos="3515"/>
        </w:tabs>
        <w:ind w:left="2477" w:hanging="4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B894CC">
      <w:start w:val="1"/>
      <w:numFmt w:val="decimalEnclosedCircle"/>
      <w:lvlText w:val="%6"/>
      <w:lvlJc w:val="left"/>
      <w:pPr>
        <w:tabs>
          <w:tab w:val="left" w:pos="624"/>
          <w:tab w:val="left" w:pos="1247"/>
          <w:tab w:val="left" w:pos="1814"/>
          <w:tab w:val="left" w:pos="2381"/>
          <w:tab w:val="num" w:pos="2820"/>
          <w:tab w:val="left" w:pos="2948"/>
          <w:tab w:val="left" w:pos="3515"/>
        </w:tabs>
        <w:ind w:left="291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5CEEA6">
      <w:start w:val="1"/>
      <w:numFmt w:val="decimal"/>
      <w:lvlText w:val="%7."/>
      <w:lvlJc w:val="left"/>
      <w:pPr>
        <w:tabs>
          <w:tab w:val="left" w:pos="624"/>
          <w:tab w:val="left" w:pos="1247"/>
          <w:tab w:val="left" w:pos="1814"/>
          <w:tab w:val="left" w:pos="2381"/>
          <w:tab w:val="left" w:pos="2948"/>
          <w:tab w:val="num" w:pos="3240"/>
          <w:tab w:val="left" w:pos="3515"/>
        </w:tabs>
        <w:ind w:left="33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B0297E">
      <w:start w:val="1"/>
      <w:numFmt w:val="aiueoFullWidth"/>
      <w:suff w:val="nothing"/>
      <w:lvlText w:val="(%8)"/>
      <w:lvlJc w:val="left"/>
      <w:pPr>
        <w:tabs>
          <w:tab w:val="left" w:pos="624"/>
          <w:tab w:val="left" w:pos="1247"/>
          <w:tab w:val="left" w:pos="1814"/>
          <w:tab w:val="left" w:pos="2381"/>
          <w:tab w:val="left" w:pos="2948"/>
          <w:tab w:val="left" w:pos="3515"/>
        </w:tabs>
        <w:ind w:left="3611" w:hanging="31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5EC880">
      <w:start w:val="1"/>
      <w:numFmt w:val="decimalEnclosedCircle"/>
      <w:lvlText w:val="%9"/>
      <w:lvlJc w:val="left"/>
      <w:pPr>
        <w:tabs>
          <w:tab w:val="left" w:pos="624"/>
          <w:tab w:val="left" w:pos="1247"/>
          <w:tab w:val="left" w:pos="1814"/>
          <w:tab w:val="left" w:pos="2381"/>
          <w:tab w:val="left" w:pos="2948"/>
          <w:tab w:val="left" w:pos="3515"/>
          <w:tab w:val="num" w:pos="4080"/>
        </w:tabs>
        <w:ind w:left="417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4FF7BCD"/>
    <w:multiLevelType w:val="hybridMultilevel"/>
    <w:tmpl w:val="DE5AC4E0"/>
    <w:lvl w:ilvl="0" w:tplc="3C785296">
      <w:start w:val="1"/>
      <w:numFmt w:val="decimal"/>
      <w:pStyle w:val="Style1"/>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506AC6"/>
    <w:multiLevelType w:val="hybridMultilevel"/>
    <w:tmpl w:val="DCE6F19C"/>
    <w:styleLink w:val="Importovanstyl5"/>
    <w:lvl w:ilvl="0" w:tplc="AAF4EDC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B04B6C">
      <w:start w:val="1"/>
      <w:numFmt w:val="lowerLetter"/>
      <w:lvlText w:val="%2."/>
      <w:lvlJc w:val="left"/>
      <w:pPr>
        <w:ind w:left="1247" w:hanging="1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605870">
      <w:start w:val="1"/>
      <w:numFmt w:val="lowerRoman"/>
      <w:lvlText w:val="%3."/>
      <w:lvlJc w:val="left"/>
      <w:pPr>
        <w:ind w:left="216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0255E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6A8AA0">
      <w:start w:val="1"/>
      <w:numFmt w:val="lowerLetter"/>
      <w:lvlText w:val="%5."/>
      <w:lvlJc w:val="left"/>
      <w:pPr>
        <w:ind w:left="351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18790C">
      <w:start w:val="1"/>
      <w:numFmt w:val="lowerRoman"/>
      <w:lvlText w:val="%6."/>
      <w:lvlJc w:val="left"/>
      <w:pPr>
        <w:ind w:left="432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8EDDC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DE89B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640216">
      <w:start w:val="1"/>
      <w:numFmt w:val="lowerRoman"/>
      <w:lvlText w:val="%9."/>
      <w:lvlJc w:val="left"/>
      <w:pPr>
        <w:ind w:left="648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B06436D"/>
    <w:multiLevelType w:val="hybridMultilevel"/>
    <w:tmpl w:val="8CDA177C"/>
    <w:lvl w:ilvl="0" w:tplc="088671F6">
      <w:start w:val="1"/>
      <w:numFmt w:val="bullet"/>
      <w:lvlText w:val=""/>
      <w:lvlJc w:val="left"/>
      <w:pPr>
        <w:tabs>
          <w:tab w:val="left" w:pos="624"/>
        </w:tabs>
        <w:ind w:left="2495" w:hanging="624"/>
      </w:pPr>
      <w:rPr>
        <w:rFonts w:ascii="Wingdings" w:hAnsi="Wingdings" w:hint="default"/>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1CDC76A4">
      <w:start w:val="1"/>
      <w:numFmt w:val="bullet"/>
      <w:lvlText w:val="o"/>
      <w:lvlJc w:val="left"/>
      <w:pPr>
        <w:tabs>
          <w:tab w:val="left" w:pos="624"/>
        </w:tabs>
        <w:ind w:left="3215" w:hanging="624"/>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FC8C270C">
      <w:start w:val="1"/>
      <w:numFmt w:val="bullet"/>
      <w:lvlText w:val="▪"/>
      <w:lvlJc w:val="left"/>
      <w:pPr>
        <w:tabs>
          <w:tab w:val="left" w:pos="624"/>
        </w:tabs>
        <w:ind w:left="3935" w:hanging="624"/>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496872F2">
      <w:start w:val="1"/>
      <w:numFmt w:val="bullet"/>
      <w:lvlText w:val="•"/>
      <w:lvlJc w:val="left"/>
      <w:pPr>
        <w:tabs>
          <w:tab w:val="left" w:pos="624"/>
        </w:tabs>
        <w:ind w:left="4655" w:hanging="624"/>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40F0BE72">
      <w:start w:val="1"/>
      <w:numFmt w:val="bullet"/>
      <w:lvlText w:val="o"/>
      <w:lvlJc w:val="left"/>
      <w:pPr>
        <w:tabs>
          <w:tab w:val="left" w:pos="624"/>
        </w:tabs>
        <w:ind w:left="5375" w:hanging="624"/>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8ECCBBCA">
      <w:start w:val="1"/>
      <w:numFmt w:val="bullet"/>
      <w:lvlText w:val="▪"/>
      <w:lvlJc w:val="left"/>
      <w:pPr>
        <w:tabs>
          <w:tab w:val="left" w:pos="624"/>
        </w:tabs>
        <w:ind w:left="6095" w:hanging="624"/>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E16C8928">
      <w:start w:val="1"/>
      <w:numFmt w:val="bullet"/>
      <w:lvlText w:val="•"/>
      <w:lvlJc w:val="left"/>
      <w:pPr>
        <w:tabs>
          <w:tab w:val="left" w:pos="624"/>
        </w:tabs>
        <w:ind w:left="6815" w:hanging="624"/>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594E75D6">
      <w:start w:val="1"/>
      <w:numFmt w:val="bullet"/>
      <w:lvlText w:val="o"/>
      <w:lvlJc w:val="left"/>
      <w:pPr>
        <w:tabs>
          <w:tab w:val="left" w:pos="624"/>
        </w:tabs>
        <w:ind w:left="7535" w:hanging="624"/>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165C44CC">
      <w:start w:val="1"/>
      <w:numFmt w:val="bullet"/>
      <w:lvlText w:val="▪"/>
      <w:lvlJc w:val="left"/>
      <w:pPr>
        <w:tabs>
          <w:tab w:val="left" w:pos="624"/>
        </w:tabs>
        <w:ind w:left="8255" w:hanging="624"/>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F003D0C"/>
    <w:multiLevelType w:val="multilevel"/>
    <w:tmpl w:val="7C9848CA"/>
    <w:styleLink w:val="WWNum25"/>
    <w:lvl w:ilvl="0">
      <w:start w:val="1"/>
      <w:numFmt w:val="decimal"/>
      <w:lvlText w:val="%1."/>
      <w:lvlJc w:val="left"/>
      <w:pPr>
        <w:ind w:left="1247" w:firstLine="0"/>
      </w:pPr>
      <w:rPr>
        <w:i w:val="0"/>
      </w:rPr>
    </w:lvl>
    <w:lvl w:ilvl="1">
      <w:start w:val="1"/>
      <w:numFmt w:val="lowerLetter"/>
      <w:lvlText w:val="(%2)"/>
      <w:lvlJc w:val="left"/>
      <w:pPr>
        <w:ind w:left="1247" w:firstLine="567"/>
      </w:pPr>
    </w:lvl>
    <w:lvl w:ilvl="2">
      <w:start w:val="1"/>
      <w:numFmt w:val="lowerRoman"/>
      <w:lvlText w:val="(%1.%2.%3)"/>
      <w:lvlJc w:val="left"/>
      <w:pPr>
        <w:ind w:left="2948" w:hanging="567"/>
      </w:pPr>
    </w:lvl>
    <w:lvl w:ilvl="3">
      <w:start w:val="1"/>
      <w:numFmt w:val="lowerLetter"/>
      <w:lvlText w:val="%1.%2.%3.%4."/>
      <w:lvlJc w:val="left"/>
      <w:pPr>
        <w:ind w:left="3515" w:hanging="567"/>
      </w:pPr>
    </w:lvl>
    <w:lvl w:ilvl="4">
      <w:start w:val="1"/>
      <w:numFmt w:val="lowerLetter"/>
      <w:lvlText w:val="%1.%2.%3.%4.%5."/>
      <w:lvlJc w:val="left"/>
      <w:pPr>
        <w:ind w:left="6548" w:hanging="360"/>
      </w:pPr>
    </w:lvl>
    <w:lvl w:ilvl="5">
      <w:start w:val="1"/>
      <w:numFmt w:val="lowerRoman"/>
      <w:lvlText w:val="%1.%2.%3.%4.%5.%6."/>
      <w:lvlJc w:val="right"/>
      <w:pPr>
        <w:ind w:left="7268" w:hanging="180"/>
      </w:pPr>
    </w:lvl>
    <w:lvl w:ilvl="6">
      <w:start w:val="1"/>
      <w:numFmt w:val="decimal"/>
      <w:lvlText w:val="%1.%2.%3.%4.%5.%6.%7."/>
      <w:lvlJc w:val="left"/>
      <w:pPr>
        <w:ind w:left="7988" w:hanging="360"/>
      </w:pPr>
    </w:lvl>
    <w:lvl w:ilvl="7">
      <w:start w:val="1"/>
      <w:numFmt w:val="lowerLetter"/>
      <w:lvlText w:val="%1.%2.%3.%4.%5.%6.%7.%8."/>
      <w:lvlJc w:val="left"/>
      <w:pPr>
        <w:ind w:left="8708" w:hanging="360"/>
      </w:pPr>
    </w:lvl>
    <w:lvl w:ilvl="8">
      <w:start w:val="1"/>
      <w:numFmt w:val="lowerRoman"/>
      <w:lvlText w:val="%1.%2.%3.%4.%5.%6.%7.%8.%9."/>
      <w:lvlJc w:val="right"/>
      <w:pPr>
        <w:ind w:left="9428" w:hanging="180"/>
      </w:pPr>
    </w:lvl>
  </w:abstractNum>
  <w:abstractNum w:abstractNumId="10" w15:restartNumberingAfterBreak="0">
    <w:nsid w:val="30F85204"/>
    <w:multiLevelType w:val="hybridMultilevel"/>
    <w:tmpl w:val="A896055A"/>
    <w:lvl w:ilvl="0" w:tplc="9BEADC66">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2" w15:restartNumberingAfterBreak="0">
    <w:nsid w:val="41505400"/>
    <w:multiLevelType w:val="hybridMultilevel"/>
    <w:tmpl w:val="A64ADA34"/>
    <w:styleLink w:val="Importovanstyl6"/>
    <w:lvl w:ilvl="0" w:tplc="7B446134">
      <w:start w:val="1"/>
      <w:numFmt w:val="lowerRoman"/>
      <w:lvlText w:val="(%1)"/>
      <w:lvlJc w:val="left"/>
      <w:pPr>
        <w:tabs>
          <w:tab w:val="left" w:pos="624"/>
          <w:tab w:val="num" w:pos="1247"/>
          <w:tab w:val="left" w:pos="1814"/>
          <w:tab w:val="left" w:pos="2381"/>
          <w:tab w:val="left" w:pos="2948"/>
          <w:tab w:val="left" w:pos="3515"/>
        </w:tabs>
        <w:ind w:left="12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127F10">
      <w:start w:val="1"/>
      <w:numFmt w:val="lowerLetter"/>
      <w:lvlText w:val="%2."/>
      <w:lvlJc w:val="left"/>
      <w:pPr>
        <w:tabs>
          <w:tab w:val="left" w:pos="624"/>
          <w:tab w:val="left" w:pos="1247"/>
          <w:tab w:val="num" w:pos="1620"/>
          <w:tab w:val="left" w:pos="1814"/>
          <w:tab w:val="left" w:pos="2381"/>
          <w:tab w:val="left" w:pos="2948"/>
          <w:tab w:val="left" w:pos="3515"/>
        </w:tabs>
        <w:ind w:left="163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907B42">
      <w:start w:val="1"/>
      <w:numFmt w:val="lowerRoman"/>
      <w:suff w:val="nothing"/>
      <w:lvlText w:val="%3."/>
      <w:lvlJc w:val="left"/>
      <w:pPr>
        <w:tabs>
          <w:tab w:val="left" w:pos="624"/>
          <w:tab w:val="left" w:pos="1247"/>
          <w:tab w:val="left" w:pos="1814"/>
          <w:tab w:val="left" w:pos="2381"/>
          <w:tab w:val="left" w:pos="2948"/>
          <w:tab w:val="left" w:pos="3515"/>
        </w:tabs>
        <w:ind w:left="2353" w:hanging="1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D69BA4">
      <w:start w:val="1"/>
      <w:numFmt w:val="decimal"/>
      <w:lvlText w:val="%4."/>
      <w:lvlJc w:val="left"/>
      <w:pPr>
        <w:tabs>
          <w:tab w:val="left" w:pos="624"/>
          <w:tab w:val="left" w:pos="1247"/>
          <w:tab w:val="left" w:pos="1814"/>
          <w:tab w:val="left" w:pos="2381"/>
          <w:tab w:val="left" w:pos="2948"/>
          <w:tab w:val="num" w:pos="3060"/>
          <w:tab w:val="left" w:pos="3515"/>
        </w:tabs>
        <w:ind w:left="307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2A2F72">
      <w:start w:val="1"/>
      <w:numFmt w:val="lowerLetter"/>
      <w:lvlText w:val="%5."/>
      <w:lvlJc w:val="left"/>
      <w:pPr>
        <w:tabs>
          <w:tab w:val="left" w:pos="624"/>
          <w:tab w:val="left" w:pos="1247"/>
          <w:tab w:val="left" w:pos="1814"/>
          <w:tab w:val="left" w:pos="2381"/>
          <w:tab w:val="left" w:pos="2948"/>
          <w:tab w:val="left" w:pos="3515"/>
          <w:tab w:val="num" w:pos="3780"/>
        </w:tabs>
        <w:ind w:left="379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6A8F06">
      <w:start w:val="1"/>
      <w:numFmt w:val="lowerRoman"/>
      <w:lvlText w:val="%6."/>
      <w:lvlJc w:val="left"/>
      <w:pPr>
        <w:tabs>
          <w:tab w:val="left" w:pos="624"/>
          <w:tab w:val="left" w:pos="1247"/>
          <w:tab w:val="left" w:pos="1814"/>
          <w:tab w:val="left" w:pos="2381"/>
          <w:tab w:val="left" w:pos="2948"/>
          <w:tab w:val="left" w:pos="3515"/>
          <w:tab w:val="num" w:pos="4500"/>
        </w:tabs>
        <w:ind w:left="4513"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E28712">
      <w:start w:val="1"/>
      <w:numFmt w:val="decimal"/>
      <w:lvlText w:val="%7."/>
      <w:lvlJc w:val="left"/>
      <w:pPr>
        <w:tabs>
          <w:tab w:val="left" w:pos="624"/>
          <w:tab w:val="left" w:pos="1247"/>
          <w:tab w:val="left" w:pos="1814"/>
          <w:tab w:val="left" w:pos="2381"/>
          <w:tab w:val="left" w:pos="2948"/>
          <w:tab w:val="left" w:pos="3515"/>
          <w:tab w:val="num" w:pos="5220"/>
        </w:tabs>
        <w:ind w:left="523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D8D5FA">
      <w:start w:val="1"/>
      <w:numFmt w:val="lowerLetter"/>
      <w:lvlText w:val="%8."/>
      <w:lvlJc w:val="left"/>
      <w:pPr>
        <w:tabs>
          <w:tab w:val="left" w:pos="624"/>
          <w:tab w:val="left" w:pos="1247"/>
          <w:tab w:val="left" w:pos="1814"/>
          <w:tab w:val="left" w:pos="2381"/>
          <w:tab w:val="left" w:pos="2948"/>
          <w:tab w:val="left" w:pos="3515"/>
          <w:tab w:val="num" w:pos="5940"/>
        </w:tabs>
        <w:ind w:left="595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B6C704">
      <w:start w:val="1"/>
      <w:numFmt w:val="lowerRoman"/>
      <w:lvlText w:val="%9."/>
      <w:lvlJc w:val="left"/>
      <w:pPr>
        <w:tabs>
          <w:tab w:val="left" w:pos="624"/>
          <w:tab w:val="left" w:pos="1247"/>
          <w:tab w:val="left" w:pos="1814"/>
          <w:tab w:val="left" w:pos="2381"/>
          <w:tab w:val="left" w:pos="2948"/>
          <w:tab w:val="left" w:pos="3515"/>
          <w:tab w:val="num" w:pos="6660"/>
        </w:tabs>
        <w:ind w:left="6673" w:hanging="3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417F6FA5"/>
    <w:multiLevelType w:val="hybridMultilevel"/>
    <w:tmpl w:val="0A1AE0A8"/>
    <w:lvl w:ilvl="0" w:tplc="EE84FE30">
      <w:start w:val="2"/>
      <w:numFmt w:val="decimal"/>
      <w:lvlText w:val="%1."/>
      <w:lvlJc w:val="left"/>
      <w:pPr>
        <w:ind w:left="1967" w:hanging="360"/>
      </w:pPr>
      <w:rPr>
        <w:rFonts w:hint="default"/>
      </w:rPr>
    </w:lvl>
    <w:lvl w:ilvl="1" w:tplc="04090019">
      <w:start w:val="1"/>
      <w:numFmt w:val="lowerLetter"/>
      <w:lvlText w:val="%2."/>
      <w:lvlJc w:val="left"/>
      <w:pPr>
        <w:ind w:left="2687" w:hanging="360"/>
      </w:pPr>
    </w:lvl>
    <w:lvl w:ilvl="2" w:tplc="0409001B">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14" w15:restartNumberingAfterBreak="0">
    <w:nsid w:val="495516D8"/>
    <w:multiLevelType w:val="hybridMultilevel"/>
    <w:tmpl w:val="05109DB0"/>
    <w:styleLink w:val="Importovanstyl9"/>
    <w:lvl w:ilvl="0" w:tplc="F9EEA674">
      <w:start w:val="1"/>
      <w:numFmt w:val="lowerLetter"/>
      <w:lvlText w:val="(%1)"/>
      <w:lvlJc w:val="left"/>
      <w:pPr>
        <w:tabs>
          <w:tab w:val="num" w:pos="624"/>
          <w:tab w:val="left" w:pos="810"/>
          <w:tab w:val="left" w:pos="1247"/>
          <w:tab w:val="left" w:pos="1814"/>
          <w:tab w:val="left" w:pos="2381"/>
          <w:tab w:val="left" w:pos="2948"/>
          <w:tab w:val="left" w:pos="351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608CCC">
      <w:start w:val="1"/>
      <w:numFmt w:val="lowerRoman"/>
      <w:suff w:val="nothing"/>
      <w:lvlText w:val="%2."/>
      <w:lvlJc w:val="left"/>
      <w:pPr>
        <w:tabs>
          <w:tab w:val="left" w:pos="624"/>
          <w:tab w:val="left" w:pos="810"/>
          <w:tab w:val="left" w:pos="1247"/>
          <w:tab w:val="left" w:pos="1814"/>
          <w:tab w:val="left" w:pos="2381"/>
          <w:tab w:val="left" w:pos="2948"/>
          <w:tab w:val="left" w:pos="3515"/>
        </w:tabs>
        <w:ind w:left="906" w:hanging="2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563DE6">
      <w:start w:val="1"/>
      <w:numFmt w:val="decimalEnclosedCircle"/>
      <w:lvlText w:val="%3"/>
      <w:lvlJc w:val="left"/>
      <w:pPr>
        <w:tabs>
          <w:tab w:val="left" w:pos="624"/>
          <w:tab w:val="left" w:pos="810"/>
          <w:tab w:val="left" w:pos="1247"/>
          <w:tab w:val="num" w:pos="1560"/>
          <w:tab w:val="left" w:pos="1814"/>
          <w:tab w:val="left" w:pos="2381"/>
          <w:tab w:val="left" w:pos="2948"/>
          <w:tab w:val="left" w:pos="3515"/>
        </w:tabs>
        <w:ind w:left="165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ECC714">
      <w:start w:val="1"/>
      <w:numFmt w:val="decimal"/>
      <w:lvlText w:val="%4."/>
      <w:lvlJc w:val="left"/>
      <w:pPr>
        <w:tabs>
          <w:tab w:val="left" w:pos="624"/>
          <w:tab w:val="left" w:pos="810"/>
          <w:tab w:val="left" w:pos="1247"/>
          <w:tab w:val="num" w:pos="1814"/>
          <w:tab w:val="left" w:pos="2381"/>
          <w:tab w:val="left" w:pos="2948"/>
          <w:tab w:val="left" w:pos="3515"/>
        </w:tabs>
        <w:ind w:left="191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6852B8">
      <w:start w:val="1"/>
      <w:numFmt w:val="aiueoFullWidth"/>
      <w:lvlText w:val="(%5)"/>
      <w:lvlJc w:val="left"/>
      <w:pPr>
        <w:tabs>
          <w:tab w:val="left" w:pos="624"/>
          <w:tab w:val="left" w:pos="810"/>
          <w:tab w:val="left" w:pos="1247"/>
          <w:tab w:val="left" w:pos="1814"/>
          <w:tab w:val="num" w:pos="2381"/>
          <w:tab w:val="left" w:pos="2948"/>
          <w:tab w:val="left" w:pos="3515"/>
        </w:tabs>
        <w:ind w:left="2477" w:hanging="4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EC8054">
      <w:start w:val="1"/>
      <w:numFmt w:val="decimalEnclosedCircle"/>
      <w:lvlText w:val="%6"/>
      <w:lvlJc w:val="left"/>
      <w:pPr>
        <w:tabs>
          <w:tab w:val="left" w:pos="624"/>
          <w:tab w:val="left" w:pos="810"/>
          <w:tab w:val="left" w:pos="1247"/>
          <w:tab w:val="left" w:pos="1814"/>
          <w:tab w:val="left" w:pos="2381"/>
          <w:tab w:val="num" w:pos="2820"/>
          <w:tab w:val="left" w:pos="2948"/>
          <w:tab w:val="left" w:pos="3515"/>
        </w:tabs>
        <w:ind w:left="291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A2D584">
      <w:start w:val="1"/>
      <w:numFmt w:val="decimal"/>
      <w:lvlText w:val="%7."/>
      <w:lvlJc w:val="left"/>
      <w:pPr>
        <w:tabs>
          <w:tab w:val="left" w:pos="624"/>
          <w:tab w:val="left" w:pos="810"/>
          <w:tab w:val="left" w:pos="1247"/>
          <w:tab w:val="left" w:pos="1814"/>
          <w:tab w:val="left" w:pos="2381"/>
          <w:tab w:val="left" w:pos="2948"/>
          <w:tab w:val="num" w:pos="3240"/>
          <w:tab w:val="left" w:pos="3515"/>
        </w:tabs>
        <w:ind w:left="33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60C694">
      <w:start w:val="1"/>
      <w:numFmt w:val="aiueoFullWidth"/>
      <w:suff w:val="nothing"/>
      <w:lvlText w:val="(%8)"/>
      <w:lvlJc w:val="left"/>
      <w:pPr>
        <w:tabs>
          <w:tab w:val="left" w:pos="624"/>
          <w:tab w:val="left" w:pos="810"/>
          <w:tab w:val="left" w:pos="1247"/>
          <w:tab w:val="left" w:pos="1814"/>
          <w:tab w:val="left" w:pos="2381"/>
          <w:tab w:val="left" w:pos="2948"/>
          <w:tab w:val="left" w:pos="3515"/>
        </w:tabs>
        <w:ind w:left="3611" w:hanging="31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DC8BCA">
      <w:start w:val="1"/>
      <w:numFmt w:val="decimalEnclosedCircle"/>
      <w:lvlText w:val="%9"/>
      <w:lvlJc w:val="left"/>
      <w:pPr>
        <w:tabs>
          <w:tab w:val="left" w:pos="624"/>
          <w:tab w:val="left" w:pos="810"/>
          <w:tab w:val="left" w:pos="1247"/>
          <w:tab w:val="left" w:pos="1814"/>
          <w:tab w:val="left" w:pos="2381"/>
          <w:tab w:val="left" w:pos="2948"/>
          <w:tab w:val="left" w:pos="3515"/>
          <w:tab w:val="num" w:pos="4080"/>
        </w:tabs>
        <w:ind w:left="417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52A66A9D"/>
    <w:multiLevelType w:val="multilevel"/>
    <w:tmpl w:val="6B4E00DA"/>
    <w:styleLink w:val="Normallist4"/>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6" w15:restartNumberingAfterBreak="0">
    <w:nsid w:val="5FE34526"/>
    <w:multiLevelType w:val="hybridMultilevel"/>
    <w:tmpl w:val="D07A6E4C"/>
    <w:lvl w:ilvl="0" w:tplc="F40AD4B2">
      <w:numFmt w:val="decimal"/>
      <w:lvlText w:val=""/>
      <w:lvlJc w:val="left"/>
    </w:lvl>
    <w:lvl w:ilvl="1" w:tplc="3BF0B99A">
      <w:numFmt w:val="decimal"/>
      <w:lvlText w:val=""/>
      <w:lvlJc w:val="left"/>
    </w:lvl>
    <w:lvl w:ilvl="2" w:tplc="D7741818">
      <w:numFmt w:val="decimal"/>
      <w:lvlText w:val=""/>
      <w:lvlJc w:val="left"/>
    </w:lvl>
    <w:lvl w:ilvl="3" w:tplc="BEE841CA">
      <w:numFmt w:val="decimal"/>
      <w:lvlText w:val=""/>
      <w:lvlJc w:val="left"/>
    </w:lvl>
    <w:lvl w:ilvl="4" w:tplc="4FCEEB44">
      <w:numFmt w:val="decimal"/>
      <w:lvlText w:val=""/>
      <w:lvlJc w:val="left"/>
    </w:lvl>
    <w:lvl w:ilvl="5" w:tplc="292CCA3A">
      <w:numFmt w:val="decimal"/>
      <w:lvlText w:val=""/>
      <w:lvlJc w:val="left"/>
    </w:lvl>
    <w:lvl w:ilvl="6" w:tplc="A204E07C">
      <w:numFmt w:val="decimal"/>
      <w:lvlText w:val=""/>
      <w:lvlJc w:val="left"/>
    </w:lvl>
    <w:lvl w:ilvl="7" w:tplc="9CF265AC">
      <w:numFmt w:val="decimal"/>
      <w:lvlText w:val=""/>
      <w:lvlJc w:val="left"/>
    </w:lvl>
    <w:lvl w:ilvl="8" w:tplc="0A4411DE">
      <w:numFmt w:val="decimal"/>
      <w:lvlText w:val=""/>
      <w:lvlJc w:val="left"/>
    </w:lvl>
  </w:abstractNum>
  <w:abstractNum w:abstractNumId="17" w15:restartNumberingAfterBreak="0">
    <w:nsid w:val="72D51C17"/>
    <w:multiLevelType w:val="multilevel"/>
    <w:tmpl w:val="C164C41E"/>
    <w:lvl w:ilvl="0">
      <w:start w:val="1"/>
      <w:numFmt w:val="lowerLetter"/>
      <w:lvlText w:val="(%1)"/>
      <w:lvlJc w:val="left"/>
      <w:pPr>
        <w:tabs>
          <w:tab w:val="num" w:pos="568"/>
        </w:tabs>
        <w:ind w:left="1248" w:firstLine="0"/>
      </w:pPr>
      <w:rPr>
        <w:rFonts w:hint="default"/>
      </w:rPr>
    </w:lvl>
    <w:lvl w:ilvl="1">
      <w:start w:val="1"/>
      <w:numFmt w:val="lowerLetter"/>
      <w:lvlText w:val="(%2)"/>
      <w:lvlJc w:val="left"/>
      <w:pPr>
        <w:tabs>
          <w:tab w:val="num" w:pos="568"/>
        </w:tabs>
        <w:ind w:left="1248" w:firstLine="567"/>
      </w:pPr>
      <w:rPr>
        <w:rFonts w:hint="default"/>
      </w:rPr>
    </w:lvl>
    <w:lvl w:ilvl="2">
      <w:start w:val="1"/>
      <w:numFmt w:val="lowerRoman"/>
      <w:lvlText w:val="(%3)"/>
      <w:lvlJc w:val="left"/>
      <w:pPr>
        <w:tabs>
          <w:tab w:val="num" w:pos="568"/>
        </w:tabs>
        <w:ind w:left="2949" w:hanging="567"/>
      </w:pPr>
      <w:rPr>
        <w:rFonts w:hint="default"/>
      </w:rPr>
    </w:lvl>
    <w:lvl w:ilvl="3">
      <w:start w:val="1"/>
      <w:numFmt w:val="lowerLetter"/>
      <w:lvlText w:val="%4."/>
      <w:lvlJc w:val="left"/>
      <w:pPr>
        <w:tabs>
          <w:tab w:val="num" w:pos="568"/>
        </w:tabs>
        <w:ind w:left="3516" w:hanging="567"/>
      </w:pPr>
      <w:rPr>
        <w:rFonts w:hint="default"/>
      </w:rPr>
    </w:lvl>
    <w:lvl w:ilvl="4">
      <w:start w:val="1"/>
      <w:numFmt w:val="lowerLetter"/>
      <w:lvlText w:val="%5."/>
      <w:lvlJc w:val="left"/>
      <w:pPr>
        <w:tabs>
          <w:tab w:val="num" w:pos="6549"/>
        </w:tabs>
        <w:ind w:left="6549" w:hanging="360"/>
      </w:pPr>
      <w:rPr>
        <w:rFonts w:hint="default"/>
      </w:rPr>
    </w:lvl>
    <w:lvl w:ilvl="5">
      <w:start w:val="1"/>
      <w:numFmt w:val="lowerRoman"/>
      <w:lvlText w:val="%6."/>
      <w:lvlJc w:val="right"/>
      <w:pPr>
        <w:tabs>
          <w:tab w:val="num" w:pos="7269"/>
        </w:tabs>
        <w:ind w:left="7269" w:hanging="180"/>
      </w:pPr>
      <w:rPr>
        <w:rFonts w:hint="default"/>
      </w:rPr>
    </w:lvl>
    <w:lvl w:ilvl="6">
      <w:start w:val="1"/>
      <w:numFmt w:val="decimal"/>
      <w:lvlText w:val="%7."/>
      <w:lvlJc w:val="left"/>
      <w:pPr>
        <w:tabs>
          <w:tab w:val="num" w:pos="7989"/>
        </w:tabs>
        <w:ind w:left="7989" w:hanging="360"/>
      </w:pPr>
      <w:rPr>
        <w:rFonts w:hint="default"/>
      </w:rPr>
    </w:lvl>
    <w:lvl w:ilvl="7">
      <w:start w:val="1"/>
      <w:numFmt w:val="lowerLetter"/>
      <w:lvlText w:val="%8."/>
      <w:lvlJc w:val="left"/>
      <w:pPr>
        <w:tabs>
          <w:tab w:val="num" w:pos="8709"/>
        </w:tabs>
        <w:ind w:left="8709" w:hanging="360"/>
      </w:pPr>
      <w:rPr>
        <w:rFonts w:hint="default"/>
      </w:rPr>
    </w:lvl>
    <w:lvl w:ilvl="8">
      <w:start w:val="1"/>
      <w:numFmt w:val="lowerRoman"/>
      <w:lvlText w:val="%9."/>
      <w:lvlJc w:val="right"/>
      <w:pPr>
        <w:tabs>
          <w:tab w:val="num" w:pos="9429"/>
        </w:tabs>
        <w:ind w:left="9429" w:hanging="180"/>
      </w:pPr>
      <w:rPr>
        <w:rFonts w:hint="default"/>
      </w:rPr>
    </w:lvl>
  </w:abstractNum>
  <w:num w:numId="1">
    <w:abstractNumId w:val="15"/>
  </w:num>
  <w:num w:numId="2">
    <w:abstractNumId w:val="4"/>
  </w:num>
  <w:num w:numId="3">
    <w:abstractNumId w:val="11"/>
  </w:num>
  <w:num w:numId="4">
    <w:abstractNumId w:val="9"/>
  </w:num>
  <w:num w:numId="5">
    <w:abstractNumId w:val="0"/>
  </w:num>
  <w:num w:numId="6">
    <w:abstractNumId w:val="7"/>
  </w:num>
  <w:num w:numId="7">
    <w:abstractNumId w:val="12"/>
  </w:num>
  <w:num w:numId="8">
    <w:abstractNumId w:val="5"/>
  </w:num>
  <w:num w:numId="9">
    <w:abstractNumId w:val="14"/>
  </w:num>
  <w:num w:numId="10">
    <w:abstractNumId w:val="1"/>
  </w:num>
  <w:num w:numId="11">
    <w:abstractNumId w:val="6"/>
    <w:lvlOverride w:ilvl="0">
      <w:lvl w:ilvl="0" w:tplc="3C785296">
        <w:start w:val="1"/>
        <w:numFmt w:val="decimal"/>
        <w:pStyle w:val="Style1"/>
        <w:lvlText w:val="%1."/>
        <w:lvlJc w:val="left"/>
        <w:pPr>
          <w:ind w:left="720" w:hanging="360"/>
        </w:pPr>
      </w:lvl>
    </w:lvlOverride>
  </w:num>
  <w:num w:numId="12">
    <w:abstractNumId w:val="16"/>
    <w:lvlOverride w:ilvl="0">
      <w:lvl w:ilvl="0" w:tplc="F40AD4B2">
        <w:start w:val="1"/>
        <w:numFmt w:val="decimal"/>
        <w:lvlText w:val="%1."/>
        <w:lvlJc w:val="left"/>
        <w:pPr>
          <w:tabs>
            <w:tab w:val="num" w:pos="1872"/>
          </w:tabs>
          <w:ind w:left="124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lvl w:ilvl="1" w:tplc="3BF0B99A">
        <w:start w:val="1"/>
        <w:numFmt w:val="lowerLetter"/>
        <w:lvlText w:val="%2)"/>
        <w:lvlJc w:val="left"/>
        <w:pPr>
          <w:tabs>
            <w:tab w:val="left" w:pos="1134"/>
            <w:tab w:val="num" w:pos="2496"/>
          </w:tabs>
          <w:ind w:left="1247" w:firstLine="62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lvl w:ilvl="2" w:tplc="D7741818">
        <w:start w:val="1"/>
        <w:numFmt w:val="lowerRoman"/>
        <w:lvlText w:val="(%3)"/>
        <w:lvlJc w:val="left"/>
        <w:pPr>
          <w:tabs>
            <w:tab w:val="left" w:pos="1134"/>
            <w:tab w:val="num" w:pos="4197"/>
          </w:tabs>
          <w:ind w:left="2948" w:firstLine="739"/>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lvl w:ilvl="3" w:tplc="BEE841CA">
        <w:start w:val="1"/>
        <w:numFmt w:val="lowerLetter"/>
        <w:lvlText w:val="%4."/>
        <w:lvlJc w:val="left"/>
        <w:pPr>
          <w:tabs>
            <w:tab w:val="left" w:pos="1134"/>
            <w:tab w:val="num" w:pos="4764"/>
          </w:tabs>
          <w:ind w:left="3515" w:firstLine="739"/>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lvl w:ilvl="4" w:tplc="4FCEEB44">
        <w:start w:val="1"/>
        <w:numFmt w:val="lowerRoman"/>
        <w:lvlText w:val="%5."/>
        <w:lvlJc w:val="left"/>
        <w:pPr>
          <w:tabs>
            <w:tab w:val="left" w:pos="1134"/>
            <w:tab w:val="num" w:pos="5331"/>
          </w:tabs>
          <w:ind w:left="4082" w:firstLine="739"/>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lvl w:ilvl="5" w:tplc="292CCA3A">
        <w:start w:val="1"/>
        <w:numFmt w:val="lowerRoman"/>
        <w:lvlText w:val="%6."/>
        <w:lvlJc w:val="left"/>
        <w:pPr>
          <w:tabs>
            <w:tab w:val="left" w:pos="1134"/>
            <w:tab w:val="num" w:pos="9084"/>
          </w:tabs>
          <w:ind w:left="7835" w:firstLine="1039"/>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lvl w:ilvl="6" w:tplc="A204E07C">
        <w:start w:val="1"/>
        <w:numFmt w:val="decimal"/>
        <w:lvlText w:val="%7."/>
        <w:lvlJc w:val="left"/>
        <w:pPr>
          <w:tabs>
            <w:tab w:val="left" w:pos="1134"/>
            <w:tab w:val="num" w:pos="9804"/>
          </w:tabs>
          <w:ind w:left="8555" w:firstLine="946"/>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lvl w:ilvl="7" w:tplc="9CF265AC">
        <w:start w:val="1"/>
        <w:numFmt w:val="lowerLetter"/>
        <w:lvlText w:val="%8."/>
        <w:lvlJc w:val="left"/>
        <w:pPr>
          <w:tabs>
            <w:tab w:val="left" w:pos="1134"/>
            <w:tab w:val="num" w:pos="10524"/>
          </w:tabs>
          <w:ind w:left="9275" w:firstLine="946"/>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lvl w:ilvl="8" w:tplc="0A4411DE">
        <w:start w:val="1"/>
        <w:numFmt w:val="lowerRoman"/>
        <w:lvlText w:val="%9."/>
        <w:lvlJc w:val="left"/>
        <w:pPr>
          <w:tabs>
            <w:tab w:val="left" w:pos="1134"/>
            <w:tab w:val="num" w:pos="11244"/>
          </w:tabs>
          <w:ind w:left="9995" w:firstLine="1039"/>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13">
    <w:abstractNumId w:val="8"/>
    <w:lvlOverride w:ilvl="0">
      <w:lvl w:ilvl="0" w:tplc="088671F6">
        <w:start w:val="1"/>
        <w:numFmt w:val="bullet"/>
        <w:lvlText w:val=""/>
        <w:lvlJc w:val="left"/>
        <w:pPr>
          <w:tabs>
            <w:tab w:val="left" w:pos="624"/>
          </w:tabs>
          <w:ind w:left="2495" w:hanging="624"/>
        </w:pPr>
        <w:rPr>
          <w:rFonts w:ascii="Wingdings" w:hAnsi="Wingdings" w:hint="default"/>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14">
    <w:abstractNumId w:val="13"/>
  </w:num>
  <w:num w:numId="15">
    <w:abstractNumId w:val="10"/>
    <w:lvlOverride w:ilvl="0">
      <w:lvl w:ilvl="0" w:tplc="9BEADC66">
        <w:start w:val="1"/>
        <w:numFmt w:val="decimal"/>
        <w:lvlText w:val="%1."/>
        <w:lvlJc w:val="left"/>
        <w:pPr>
          <w:ind w:left="720" w:hanging="360"/>
        </w:pPr>
        <w:rPr>
          <w:b w:val="0"/>
          <w:bCs/>
        </w:rPr>
      </w:lvl>
    </w:lvlOverride>
  </w:num>
  <w:num w:numId="16">
    <w:abstractNumId w:val="17"/>
    <w:lvlOverride w:ilvl="0">
      <w:lvl w:ilvl="0">
        <w:start w:val="1"/>
        <w:numFmt w:val="lowerLetter"/>
        <w:lvlText w:val="%1."/>
        <w:lvlJc w:val="left"/>
        <w:pPr>
          <w:ind w:left="3510" w:hanging="360"/>
        </w:pPr>
      </w:lvl>
    </w:lvlOverride>
    <w:lvlOverride w:ilvl="1">
      <w:lvl w:ilvl="1" w:tentative="1">
        <w:start w:val="1"/>
        <w:numFmt w:val="lowerLetter"/>
        <w:lvlText w:val="%2."/>
        <w:lvlJc w:val="left"/>
        <w:pPr>
          <w:ind w:left="2328" w:hanging="360"/>
        </w:pPr>
      </w:lvl>
    </w:lvlOverride>
    <w:lvlOverride w:ilvl="2">
      <w:lvl w:ilvl="2" w:tentative="1">
        <w:start w:val="1"/>
        <w:numFmt w:val="lowerRoman"/>
        <w:lvlText w:val="%3."/>
        <w:lvlJc w:val="right"/>
        <w:pPr>
          <w:ind w:left="3048" w:hanging="180"/>
        </w:pPr>
      </w:lvl>
    </w:lvlOverride>
    <w:lvlOverride w:ilvl="3">
      <w:lvl w:ilvl="3" w:tentative="1">
        <w:start w:val="1"/>
        <w:numFmt w:val="decimal"/>
        <w:lvlText w:val="%4."/>
        <w:lvlJc w:val="left"/>
        <w:pPr>
          <w:ind w:left="3768" w:hanging="360"/>
        </w:pPr>
      </w:lvl>
    </w:lvlOverride>
    <w:lvlOverride w:ilvl="4">
      <w:lvl w:ilvl="4" w:tentative="1">
        <w:start w:val="1"/>
        <w:numFmt w:val="lowerLetter"/>
        <w:lvlText w:val="%5."/>
        <w:lvlJc w:val="left"/>
        <w:pPr>
          <w:ind w:left="4488" w:hanging="360"/>
        </w:pPr>
      </w:lvl>
    </w:lvlOverride>
    <w:lvlOverride w:ilvl="5">
      <w:lvl w:ilvl="5" w:tentative="1">
        <w:start w:val="1"/>
        <w:numFmt w:val="lowerRoman"/>
        <w:lvlText w:val="%6."/>
        <w:lvlJc w:val="right"/>
        <w:pPr>
          <w:ind w:left="5208" w:hanging="180"/>
        </w:pPr>
      </w:lvl>
    </w:lvlOverride>
    <w:lvlOverride w:ilvl="6">
      <w:lvl w:ilvl="6" w:tentative="1">
        <w:start w:val="1"/>
        <w:numFmt w:val="decimal"/>
        <w:lvlText w:val="%7."/>
        <w:lvlJc w:val="left"/>
        <w:pPr>
          <w:ind w:left="5928" w:hanging="360"/>
        </w:pPr>
      </w:lvl>
    </w:lvlOverride>
    <w:lvlOverride w:ilvl="7">
      <w:lvl w:ilvl="7" w:tentative="1">
        <w:start w:val="1"/>
        <w:numFmt w:val="lowerLetter"/>
        <w:lvlText w:val="%8."/>
        <w:lvlJc w:val="left"/>
        <w:pPr>
          <w:ind w:left="6648" w:hanging="360"/>
        </w:pPr>
      </w:lvl>
    </w:lvlOverride>
    <w:lvlOverride w:ilvl="8">
      <w:lvl w:ilvl="8" w:tentative="1">
        <w:start w:val="1"/>
        <w:numFmt w:val="lowerRoman"/>
        <w:lvlText w:val="%9."/>
        <w:lvlJc w:val="right"/>
        <w:pPr>
          <w:ind w:left="7368" w:hanging="180"/>
        </w:pPr>
      </w:lvl>
    </w:lvlOverride>
  </w:num>
  <w:num w:numId="17">
    <w:abstractNumId w:val="2"/>
    <w:lvlOverride w:ilvl="0">
      <w:lvl w:ilvl="0">
        <w:start w:val="1"/>
        <w:numFmt w:val="lowerLetter"/>
        <w:lvlText w:val="%1)"/>
        <w:lvlJc w:val="left"/>
        <w:pPr>
          <w:tabs>
            <w:tab w:val="num" w:pos="568"/>
          </w:tabs>
          <w:ind w:left="1248" w:firstLine="0"/>
        </w:pPr>
        <w:rPr>
          <w:rFonts w:hint="default"/>
        </w:rPr>
      </w:lvl>
    </w:lvlOverride>
  </w:num>
  <w:num w:numId="18">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fr-CH"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fr-FR" w:vendorID="64" w:dllVersion="6" w:nlCheck="1" w:checkStyle="1"/>
  <w:activeWritingStyle w:appName="MSWord" w:lang="en-GB" w:vendorID="64" w:dllVersion="6" w:nlCheck="1" w:checkStyle="1"/>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MX"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D7F"/>
    <w:rsid w:val="000001E5"/>
    <w:rsid w:val="000002E8"/>
    <w:rsid w:val="00000E4A"/>
    <w:rsid w:val="000024A3"/>
    <w:rsid w:val="00003786"/>
    <w:rsid w:val="00004299"/>
    <w:rsid w:val="00004DE5"/>
    <w:rsid w:val="000057BB"/>
    <w:rsid w:val="000077AD"/>
    <w:rsid w:val="000111F1"/>
    <w:rsid w:val="0001120B"/>
    <w:rsid w:val="00011A16"/>
    <w:rsid w:val="00014361"/>
    <w:rsid w:val="000149E6"/>
    <w:rsid w:val="00016424"/>
    <w:rsid w:val="000213E7"/>
    <w:rsid w:val="0002372D"/>
    <w:rsid w:val="00023DA9"/>
    <w:rsid w:val="000247B0"/>
    <w:rsid w:val="00026997"/>
    <w:rsid w:val="00026A08"/>
    <w:rsid w:val="00026D19"/>
    <w:rsid w:val="00027A66"/>
    <w:rsid w:val="00027B01"/>
    <w:rsid w:val="00032E4E"/>
    <w:rsid w:val="00033E0B"/>
    <w:rsid w:val="0003500D"/>
    <w:rsid w:val="00035EDE"/>
    <w:rsid w:val="00041EB8"/>
    <w:rsid w:val="00045C5B"/>
    <w:rsid w:val="000475E2"/>
    <w:rsid w:val="00047E04"/>
    <w:rsid w:val="000509B4"/>
    <w:rsid w:val="00050B0A"/>
    <w:rsid w:val="000510D6"/>
    <w:rsid w:val="00053FF1"/>
    <w:rsid w:val="000543A8"/>
    <w:rsid w:val="00054828"/>
    <w:rsid w:val="000548F9"/>
    <w:rsid w:val="00054C83"/>
    <w:rsid w:val="00056108"/>
    <w:rsid w:val="0005743F"/>
    <w:rsid w:val="0006035B"/>
    <w:rsid w:val="0006096F"/>
    <w:rsid w:val="000632BF"/>
    <w:rsid w:val="0006490E"/>
    <w:rsid w:val="000649C5"/>
    <w:rsid w:val="00067A62"/>
    <w:rsid w:val="00067DDB"/>
    <w:rsid w:val="00071886"/>
    <w:rsid w:val="00071C12"/>
    <w:rsid w:val="000742BC"/>
    <w:rsid w:val="00076758"/>
    <w:rsid w:val="00076CC6"/>
    <w:rsid w:val="00077333"/>
    <w:rsid w:val="00077945"/>
    <w:rsid w:val="00080762"/>
    <w:rsid w:val="00082725"/>
    <w:rsid w:val="00082A0C"/>
    <w:rsid w:val="000832D7"/>
    <w:rsid w:val="00083504"/>
    <w:rsid w:val="00084F10"/>
    <w:rsid w:val="000856DC"/>
    <w:rsid w:val="000860C3"/>
    <w:rsid w:val="00087287"/>
    <w:rsid w:val="00090C01"/>
    <w:rsid w:val="00092C24"/>
    <w:rsid w:val="0009422D"/>
    <w:rsid w:val="0009640C"/>
    <w:rsid w:val="00097305"/>
    <w:rsid w:val="00097428"/>
    <w:rsid w:val="0009789E"/>
    <w:rsid w:val="000A1B30"/>
    <w:rsid w:val="000A2C42"/>
    <w:rsid w:val="000A4226"/>
    <w:rsid w:val="000A6D5B"/>
    <w:rsid w:val="000A6D92"/>
    <w:rsid w:val="000A751B"/>
    <w:rsid w:val="000A7DD5"/>
    <w:rsid w:val="000B180C"/>
    <w:rsid w:val="000B1B03"/>
    <w:rsid w:val="000B22A2"/>
    <w:rsid w:val="000B24AD"/>
    <w:rsid w:val="000B3CCC"/>
    <w:rsid w:val="000B502C"/>
    <w:rsid w:val="000B541B"/>
    <w:rsid w:val="000B5596"/>
    <w:rsid w:val="000B64AD"/>
    <w:rsid w:val="000B73F9"/>
    <w:rsid w:val="000B76D4"/>
    <w:rsid w:val="000C2A52"/>
    <w:rsid w:val="000C2A88"/>
    <w:rsid w:val="000C4F45"/>
    <w:rsid w:val="000C50D9"/>
    <w:rsid w:val="000C5921"/>
    <w:rsid w:val="000C5F5C"/>
    <w:rsid w:val="000C690C"/>
    <w:rsid w:val="000D07BE"/>
    <w:rsid w:val="000D1282"/>
    <w:rsid w:val="000D3391"/>
    <w:rsid w:val="000D33C0"/>
    <w:rsid w:val="000D49CE"/>
    <w:rsid w:val="000D4CF6"/>
    <w:rsid w:val="000D54A5"/>
    <w:rsid w:val="000D6941"/>
    <w:rsid w:val="000D7A17"/>
    <w:rsid w:val="000E1305"/>
    <w:rsid w:val="000E215D"/>
    <w:rsid w:val="000E4923"/>
    <w:rsid w:val="000E74B4"/>
    <w:rsid w:val="000F08DC"/>
    <w:rsid w:val="000F2A9B"/>
    <w:rsid w:val="000F3CE2"/>
    <w:rsid w:val="000F4829"/>
    <w:rsid w:val="000F6B21"/>
    <w:rsid w:val="000F7AB2"/>
    <w:rsid w:val="001000BC"/>
    <w:rsid w:val="001004E7"/>
    <w:rsid w:val="001004F8"/>
    <w:rsid w:val="00100962"/>
    <w:rsid w:val="00100B67"/>
    <w:rsid w:val="00100D97"/>
    <w:rsid w:val="001018D1"/>
    <w:rsid w:val="00101D64"/>
    <w:rsid w:val="001020A3"/>
    <w:rsid w:val="00102B48"/>
    <w:rsid w:val="00102E5A"/>
    <w:rsid w:val="00102EFB"/>
    <w:rsid w:val="001046F5"/>
    <w:rsid w:val="00104A4B"/>
    <w:rsid w:val="00111824"/>
    <w:rsid w:val="00111855"/>
    <w:rsid w:val="00111CD9"/>
    <w:rsid w:val="00112CBE"/>
    <w:rsid w:val="00113170"/>
    <w:rsid w:val="001138CF"/>
    <w:rsid w:val="00113D26"/>
    <w:rsid w:val="0011452D"/>
    <w:rsid w:val="00114669"/>
    <w:rsid w:val="001170B8"/>
    <w:rsid w:val="001202E3"/>
    <w:rsid w:val="0012067A"/>
    <w:rsid w:val="00120E0C"/>
    <w:rsid w:val="00121E44"/>
    <w:rsid w:val="00123699"/>
    <w:rsid w:val="00123A93"/>
    <w:rsid w:val="001241FB"/>
    <w:rsid w:val="001248F8"/>
    <w:rsid w:val="00124F1B"/>
    <w:rsid w:val="001265CC"/>
    <w:rsid w:val="00127873"/>
    <w:rsid w:val="0013059D"/>
    <w:rsid w:val="001309CD"/>
    <w:rsid w:val="0013314B"/>
    <w:rsid w:val="001345F2"/>
    <w:rsid w:val="00136187"/>
    <w:rsid w:val="00136A5F"/>
    <w:rsid w:val="001413F6"/>
    <w:rsid w:val="00141A55"/>
    <w:rsid w:val="0014293F"/>
    <w:rsid w:val="0014397D"/>
    <w:rsid w:val="00144683"/>
    <w:rsid w:val="001446A3"/>
    <w:rsid w:val="001446B7"/>
    <w:rsid w:val="00146792"/>
    <w:rsid w:val="001472C1"/>
    <w:rsid w:val="00152B6B"/>
    <w:rsid w:val="00152C29"/>
    <w:rsid w:val="00154BAE"/>
    <w:rsid w:val="00155395"/>
    <w:rsid w:val="00155A2F"/>
    <w:rsid w:val="00156B6B"/>
    <w:rsid w:val="00156B8A"/>
    <w:rsid w:val="00157E17"/>
    <w:rsid w:val="00160397"/>
    <w:rsid w:val="00160D74"/>
    <w:rsid w:val="00160E34"/>
    <w:rsid w:val="00162426"/>
    <w:rsid w:val="001646EA"/>
    <w:rsid w:val="001653E7"/>
    <w:rsid w:val="00167D02"/>
    <w:rsid w:val="00170792"/>
    <w:rsid w:val="0017355C"/>
    <w:rsid w:val="00174D64"/>
    <w:rsid w:val="001759D8"/>
    <w:rsid w:val="00177D7F"/>
    <w:rsid w:val="00180C3F"/>
    <w:rsid w:val="00181EC8"/>
    <w:rsid w:val="00184349"/>
    <w:rsid w:val="00185952"/>
    <w:rsid w:val="001863B5"/>
    <w:rsid w:val="00186790"/>
    <w:rsid w:val="00186A59"/>
    <w:rsid w:val="00187284"/>
    <w:rsid w:val="0019194B"/>
    <w:rsid w:val="00191FB2"/>
    <w:rsid w:val="0019203B"/>
    <w:rsid w:val="001921DA"/>
    <w:rsid w:val="0019398A"/>
    <w:rsid w:val="00193F1E"/>
    <w:rsid w:val="001947CE"/>
    <w:rsid w:val="00195AEC"/>
    <w:rsid w:val="00195F33"/>
    <w:rsid w:val="001A1DE5"/>
    <w:rsid w:val="001A2FF9"/>
    <w:rsid w:val="001A3452"/>
    <w:rsid w:val="001A3953"/>
    <w:rsid w:val="001A3A66"/>
    <w:rsid w:val="001A3A91"/>
    <w:rsid w:val="001A47E5"/>
    <w:rsid w:val="001A5176"/>
    <w:rsid w:val="001A5AD1"/>
    <w:rsid w:val="001B02D6"/>
    <w:rsid w:val="001B0D65"/>
    <w:rsid w:val="001B1617"/>
    <w:rsid w:val="001B3944"/>
    <w:rsid w:val="001B394B"/>
    <w:rsid w:val="001B504B"/>
    <w:rsid w:val="001B5537"/>
    <w:rsid w:val="001B5627"/>
    <w:rsid w:val="001B6ED7"/>
    <w:rsid w:val="001B6F98"/>
    <w:rsid w:val="001C191A"/>
    <w:rsid w:val="001C653C"/>
    <w:rsid w:val="001C7C06"/>
    <w:rsid w:val="001D078E"/>
    <w:rsid w:val="001D1DCC"/>
    <w:rsid w:val="001D2060"/>
    <w:rsid w:val="001D25CC"/>
    <w:rsid w:val="001D26C1"/>
    <w:rsid w:val="001D3874"/>
    <w:rsid w:val="001D3B18"/>
    <w:rsid w:val="001D3B61"/>
    <w:rsid w:val="001D4900"/>
    <w:rsid w:val="001D516A"/>
    <w:rsid w:val="001D7CD0"/>
    <w:rsid w:val="001D7E75"/>
    <w:rsid w:val="001E0D73"/>
    <w:rsid w:val="001E1196"/>
    <w:rsid w:val="001E239B"/>
    <w:rsid w:val="001E45BD"/>
    <w:rsid w:val="001E56D2"/>
    <w:rsid w:val="001E7D56"/>
    <w:rsid w:val="001F1C70"/>
    <w:rsid w:val="001F5186"/>
    <w:rsid w:val="001F6928"/>
    <w:rsid w:val="001F6AD9"/>
    <w:rsid w:val="001F6BE3"/>
    <w:rsid w:val="001F6EA2"/>
    <w:rsid w:val="001F73E9"/>
    <w:rsid w:val="001F75DE"/>
    <w:rsid w:val="002007CF"/>
    <w:rsid w:val="00200D58"/>
    <w:rsid w:val="002011AF"/>
    <w:rsid w:val="002011C1"/>
    <w:rsid w:val="002013BE"/>
    <w:rsid w:val="00201EDC"/>
    <w:rsid w:val="0020364F"/>
    <w:rsid w:val="00205869"/>
    <w:rsid w:val="002063A4"/>
    <w:rsid w:val="0021145B"/>
    <w:rsid w:val="00211FF1"/>
    <w:rsid w:val="00214053"/>
    <w:rsid w:val="002148FB"/>
    <w:rsid w:val="00215BF6"/>
    <w:rsid w:val="00220C23"/>
    <w:rsid w:val="00221233"/>
    <w:rsid w:val="00221DEE"/>
    <w:rsid w:val="00223DB3"/>
    <w:rsid w:val="002247F6"/>
    <w:rsid w:val="00225E21"/>
    <w:rsid w:val="00225E44"/>
    <w:rsid w:val="0022739A"/>
    <w:rsid w:val="002279EC"/>
    <w:rsid w:val="0023050B"/>
    <w:rsid w:val="002326B2"/>
    <w:rsid w:val="002349CA"/>
    <w:rsid w:val="00234E78"/>
    <w:rsid w:val="00236401"/>
    <w:rsid w:val="00236D9B"/>
    <w:rsid w:val="00241339"/>
    <w:rsid w:val="00243D36"/>
    <w:rsid w:val="002441ED"/>
    <w:rsid w:val="00245877"/>
    <w:rsid w:val="00246151"/>
    <w:rsid w:val="0024719B"/>
    <w:rsid w:val="00247707"/>
    <w:rsid w:val="00252456"/>
    <w:rsid w:val="00252717"/>
    <w:rsid w:val="00255A12"/>
    <w:rsid w:val="0025789B"/>
    <w:rsid w:val="0026018E"/>
    <w:rsid w:val="002606D7"/>
    <w:rsid w:val="00262301"/>
    <w:rsid w:val="002643D7"/>
    <w:rsid w:val="00264C66"/>
    <w:rsid w:val="00264E2F"/>
    <w:rsid w:val="0026615A"/>
    <w:rsid w:val="00270A6E"/>
    <w:rsid w:val="00271861"/>
    <w:rsid w:val="00272F6D"/>
    <w:rsid w:val="002744C2"/>
    <w:rsid w:val="0027479D"/>
    <w:rsid w:val="002752CA"/>
    <w:rsid w:val="00275DD0"/>
    <w:rsid w:val="00275E07"/>
    <w:rsid w:val="00276554"/>
    <w:rsid w:val="0028286F"/>
    <w:rsid w:val="00282D2D"/>
    <w:rsid w:val="0028495B"/>
    <w:rsid w:val="00285B55"/>
    <w:rsid w:val="00286740"/>
    <w:rsid w:val="00286BF5"/>
    <w:rsid w:val="00286F10"/>
    <w:rsid w:val="00287905"/>
    <w:rsid w:val="00287F3E"/>
    <w:rsid w:val="00290418"/>
    <w:rsid w:val="00291EAE"/>
    <w:rsid w:val="002927A1"/>
    <w:rsid w:val="002929D8"/>
    <w:rsid w:val="00294ACF"/>
    <w:rsid w:val="00297AEE"/>
    <w:rsid w:val="002A237D"/>
    <w:rsid w:val="002A268D"/>
    <w:rsid w:val="002A4C53"/>
    <w:rsid w:val="002A5EAD"/>
    <w:rsid w:val="002A6C21"/>
    <w:rsid w:val="002B010E"/>
    <w:rsid w:val="002B0672"/>
    <w:rsid w:val="002B247F"/>
    <w:rsid w:val="002B50D4"/>
    <w:rsid w:val="002B58BF"/>
    <w:rsid w:val="002B6D5E"/>
    <w:rsid w:val="002B7A20"/>
    <w:rsid w:val="002C0BB1"/>
    <w:rsid w:val="002C145D"/>
    <w:rsid w:val="002C2C3E"/>
    <w:rsid w:val="002C2C8B"/>
    <w:rsid w:val="002C49DD"/>
    <w:rsid w:val="002C533E"/>
    <w:rsid w:val="002C5E9C"/>
    <w:rsid w:val="002D027F"/>
    <w:rsid w:val="002D04FB"/>
    <w:rsid w:val="002D3E15"/>
    <w:rsid w:val="002D56AE"/>
    <w:rsid w:val="002D7A85"/>
    <w:rsid w:val="002D7B60"/>
    <w:rsid w:val="002E05D2"/>
    <w:rsid w:val="002E3FD9"/>
    <w:rsid w:val="002E42B1"/>
    <w:rsid w:val="002E59EF"/>
    <w:rsid w:val="002F29FB"/>
    <w:rsid w:val="002F29FC"/>
    <w:rsid w:val="002F2B44"/>
    <w:rsid w:val="002F2E0D"/>
    <w:rsid w:val="002F2E7B"/>
    <w:rsid w:val="002F4297"/>
    <w:rsid w:val="002F4761"/>
    <w:rsid w:val="002F5391"/>
    <w:rsid w:val="002F5C79"/>
    <w:rsid w:val="002F6236"/>
    <w:rsid w:val="002F6441"/>
    <w:rsid w:val="002F68EE"/>
    <w:rsid w:val="003019E2"/>
    <w:rsid w:val="00302853"/>
    <w:rsid w:val="003037C3"/>
    <w:rsid w:val="00303850"/>
    <w:rsid w:val="0030456A"/>
    <w:rsid w:val="003051A1"/>
    <w:rsid w:val="003069DA"/>
    <w:rsid w:val="00306CEE"/>
    <w:rsid w:val="003071D7"/>
    <w:rsid w:val="00310BEB"/>
    <w:rsid w:val="00311CAC"/>
    <w:rsid w:val="0031413F"/>
    <w:rsid w:val="00314854"/>
    <w:rsid w:val="003148BB"/>
    <w:rsid w:val="00315652"/>
    <w:rsid w:val="00315A55"/>
    <w:rsid w:val="00317976"/>
    <w:rsid w:val="00320066"/>
    <w:rsid w:val="00320F2F"/>
    <w:rsid w:val="003210A6"/>
    <w:rsid w:val="00322756"/>
    <w:rsid w:val="003230A4"/>
    <w:rsid w:val="0032457E"/>
    <w:rsid w:val="00324943"/>
    <w:rsid w:val="00325D38"/>
    <w:rsid w:val="00326DDB"/>
    <w:rsid w:val="00331473"/>
    <w:rsid w:val="00336482"/>
    <w:rsid w:val="003365AD"/>
    <w:rsid w:val="003371D9"/>
    <w:rsid w:val="00337AFC"/>
    <w:rsid w:val="0034200A"/>
    <w:rsid w:val="00344718"/>
    <w:rsid w:val="00345029"/>
    <w:rsid w:val="0034570C"/>
    <w:rsid w:val="00345D7F"/>
    <w:rsid w:val="00345E23"/>
    <w:rsid w:val="003477A7"/>
    <w:rsid w:val="003522CE"/>
    <w:rsid w:val="003523F1"/>
    <w:rsid w:val="00352668"/>
    <w:rsid w:val="0035277E"/>
    <w:rsid w:val="00353228"/>
    <w:rsid w:val="00355C91"/>
    <w:rsid w:val="00355EA9"/>
    <w:rsid w:val="0035729C"/>
    <w:rsid w:val="003578DE"/>
    <w:rsid w:val="003610B8"/>
    <w:rsid w:val="003611BD"/>
    <w:rsid w:val="00361688"/>
    <w:rsid w:val="003621FA"/>
    <w:rsid w:val="00362318"/>
    <w:rsid w:val="003642E2"/>
    <w:rsid w:val="003655AC"/>
    <w:rsid w:val="00367391"/>
    <w:rsid w:val="00371B3A"/>
    <w:rsid w:val="00372928"/>
    <w:rsid w:val="00373325"/>
    <w:rsid w:val="003739C1"/>
    <w:rsid w:val="00373B62"/>
    <w:rsid w:val="00374846"/>
    <w:rsid w:val="00380921"/>
    <w:rsid w:val="0038168F"/>
    <w:rsid w:val="00381B12"/>
    <w:rsid w:val="00382DD5"/>
    <w:rsid w:val="003846E8"/>
    <w:rsid w:val="003858F9"/>
    <w:rsid w:val="003860E1"/>
    <w:rsid w:val="003869FF"/>
    <w:rsid w:val="0038702A"/>
    <w:rsid w:val="003877D5"/>
    <w:rsid w:val="003912D6"/>
    <w:rsid w:val="003929B8"/>
    <w:rsid w:val="00393432"/>
    <w:rsid w:val="003947D7"/>
    <w:rsid w:val="00394A5E"/>
    <w:rsid w:val="00396257"/>
    <w:rsid w:val="00397781"/>
    <w:rsid w:val="00397AAF"/>
    <w:rsid w:val="00397EB8"/>
    <w:rsid w:val="003A006F"/>
    <w:rsid w:val="003A0CAB"/>
    <w:rsid w:val="003A11B3"/>
    <w:rsid w:val="003A2652"/>
    <w:rsid w:val="003A36C0"/>
    <w:rsid w:val="003A3749"/>
    <w:rsid w:val="003A3D0F"/>
    <w:rsid w:val="003A431D"/>
    <w:rsid w:val="003A4FD0"/>
    <w:rsid w:val="003A6893"/>
    <w:rsid w:val="003A69D1"/>
    <w:rsid w:val="003A7705"/>
    <w:rsid w:val="003A77F1"/>
    <w:rsid w:val="003B1545"/>
    <w:rsid w:val="003B2CAC"/>
    <w:rsid w:val="003B2D02"/>
    <w:rsid w:val="003C09F2"/>
    <w:rsid w:val="003C2150"/>
    <w:rsid w:val="003C3219"/>
    <w:rsid w:val="003C409D"/>
    <w:rsid w:val="003C4544"/>
    <w:rsid w:val="003C5583"/>
    <w:rsid w:val="003C5BA6"/>
    <w:rsid w:val="003C5C2C"/>
    <w:rsid w:val="003C74CF"/>
    <w:rsid w:val="003D18B2"/>
    <w:rsid w:val="003D2643"/>
    <w:rsid w:val="003D3752"/>
    <w:rsid w:val="003D42CF"/>
    <w:rsid w:val="003D5434"/>
    <w:rsid w:val="003E0FFF"/>
    <w:rsid w:val="003E180A"/>
    <w:rsid w:val="003E1AFF"/>
    <w:rsid w:val="003E22AC"/>
    <w:rsid w:val="003E3257"/>
    <w:rsid w:val="003E35DA"/>
    <w:rsid w:val="003E455D"/>
    <w:rsid w:val="003E4DAD"/>
    <w:rsid w:val="003E4E1E"/>
    <w:rsid w:val="003E5EC3"/>
    <w:rsid w:val="003F0777"/>
    <w:rsid w:val="003F0843"/>
    <w:rsid w:val="003F0DEC"/>
    <w:rsid w:val="003F0E85"/>
    <w:rsid w:val="003F20F5"/>
    <w:rsid w:val="003F3608"/>
    <w:rsid w:val="003F4DA7"/>
    <w:rsid w:val="003F5091"/>
    <w:rsid w:val="003F51C7"/>
    <w:rsid w:val="00400B98"/>
    <w:rsid w:val="00401B49"/>
    <w:rsid w:val="004027EE"/>
    <w:rsid w:val="00402D7A"/>
    <w:rsid w:val="00410183"/>
    <w:rsid w:val="00410C55"/>
    <w:rsid w:val="00413570"/>
    <w:rsid w:val="00415171"/>
    <w:rsid w:val="00416854"/>
    <w:rsid w:val="00416DEA"/>
    <w:rsid w:val="004173C8"/>
    <w:rsid w:val="0041747D"/>
    <w:rsid w:val="00417725"/>
    <w:rsid w:val="00417FE2"/>
    <w:rsid w:val="00421405"/>
    <w:rsid w:val="0042266F"/>
    <w:rsid w:val="00422E50"/>
    <w:rsid w:val="004233DC"/>
    <w:rsid w:val="00424AA1"/>
    <w:rsid w:val="00425C72"/>
    <w:rsid w:val="00425F8B"/>
    <w:rsid w:val="004260B1"/>
    <w:rsid w:val="00426C5A"/>
    <w:rsid w:val="00430363"/>
    <w:rsid w:val="0043165A"/>
    <w:rsid w:val="00432222"/>
    <w:rsid w:val="00432AA6"/>
    <w:rsid w:val="0043334D"/>
    <w:rsid w:val="004334A6"/>
    <w:rsid w:val="00434321"/>
    <w:rsid w:val="0043569D"/>
    <w:rsid w:val="0043686D"/>
    <w:rsid w:val="00437F26"/>
    <w:rsid w:val="00441241"/>
    <w:rsid w:val="00444097"/>
    <w:rsid w:val="00444208"/>
    <w:rsid w:val="004447B6"/>
    <w:rsid w:val="004449C1"/>
    <w:rsid w:val="00445487"/>
    <w:rsid w:val="00445C01"/>
    <w:rsid w:val="004478CD"/>
    <w:rsid w:val="00447E0D"/>
    <w:rsid w:val="004505A1"/>
    <w:rsid w:val="0045134A"/>
    <w:rsid w:val="00451B9F"/>
    <w:rsid w:val="00453EA8"/>
    <w:rsid w:val="00454769"/>
    <w:rsid w:val="00454804"/>
    <w:rsid w:val="00456C71"/>
    <w:rsid w:val="00460D57"/>
    <w:rsid w:val="00465501"/>
    <w:rsid w:val="00466991"/>
    <w:rsid w:val="0047064C"/>
    <w:rsid w:val="004749E4"/>
    <w:rsid w:val="00476ADD"/>
    <w:rsid w:val="004822B7"/>
    <w:rsid w:val="0048379A"/>
    <w:rsid w:val="004872A6"/>
    <w:rsid w:val="00487566"/>
    <w:rsid w:val="0049469E"/>
    <w:rsid w:val="00495181"/>
    <w:rsid w:val="00496156"/>
    <w:rsid w:val="00496C8B"/>
    <w:rsid w:val="00496D70"/>
    <w:rsid w:val="00496F1C"/>
    <w:rsid w:val="00497592"/>
    <w:rsid w:val="004A2217"/>
    <w:rsid w:val="004A24F9"/>
    <w:rsid w:val="004A2D55"/>
    <w:rsid w:val="004A42AF"/>
    <w:rsid w:val="004A42E1"/>
    <w:rsid w:val="004A4DA1"/>
    <w:rsid w:val="004A5FAA"/>
    <w:rsid w:val="004A7615"/>
    <w:rsid w:val="004A766B"/>
    <w:rsid w:val="004A7DFE"/>
    <w:rsid w:val="004A7F48"/>
    <w:rsid w:val="004B162C"/>
    <w:rsid w:val="004B2439"/>
    <w:rsid w:val="004B2ABE"/>
    <w:rsid w:val="004B48BE"/>
    <w:rsid w:val="004B4D52"/>
    <w:rsid w:val="004B74A1"/>
    <w:rsid w:val="004B7A6C"/>
    <w:rsid w:val="004C0057"/>
    <w:rsid w:val="004C11A3"/>
    <w:rsid w:val="004C196B"/>
    <w:rsid w:val="004C1C14"/>
    <w:rsid w:val="004C3DBE"/>
    <w:rsid w:val="004C4AE8"/>
    <w:rsid w:val="004C4B8D"/>
    <w:rsid w:val="004C535B"/>
    <w:rsid w:val="004C5C96"/>
    <w:rsid w:val="004D06A4"/>
    <w:rsid w:val="004D3A31"/>
    <w:rsid w:val="004D3CF8"/>
    <w:rsid w:val="004D5441"/>
    <w:rsid w:val="004D5DCA"/>
    <w:rsid w:val="004D60D7"/>
    <w:rsid w:val="004E0AB7"/>
    <w:rsid w:val="004E27E0"/>
    <w:rsid w:val="004E5024"/>
    <w:rsid w:val="004E58BA"/>
    <w:rsid w:val="004E7335"/>
    <w:rsid w:val="004E75E0"/>
    <w:rsid w:val="004F11BE"/>
    <w:rsid w:val="004F1484"/>
    <w:rsid w:val="004F1A81"/>
    <w:rsid w:val="004F3EFB"/>
    <w:rsid w:val="004F4970"/>
    <w:rsid w:val="004F5D88"/>
    <w:rsid w:val="005007C0"/>
    <w:rsid w:val="00501354"/>
    <w:rsid w:val="005016B6"/>
    <w:rsid w:val="00501D26"/>
    <w:rsid w:val="00504FD4"/>
    <w:rsid w:val="005050D2"/>
    <w:rsid w:val="00511EA8"/>
    <w:rsid w:val="005123A0"/>
    <w:rsid w:val="00512ECA"/>
    <w:rsid w:val="00513A0C"/>
    <w:rsid w:val="0051708C"/>
    <w:rsid w:val="00517D3A"/>
    <w:rsid w:val="005205A2"/>
    <w:rsid w:val="005218D9"/>
    <w:rsid w:val="00522167"/>
    <w:rsid w:val="00524D33"/>
    <w:rsid w:val="00525513"/>
    <w:rsid w:val="00526319"/>
    <w:rsid w:val="0052654D"/>
    <w:rsid w:val="00526C82"/>
    <w:rsid w:val="0052730B"/>
    <w:rsid w:val="005273AE"/>
    <w:rsid w:val="00530A2C"/>
    <w:rsid w:val="0053138D"/>
    <w:rsid w:val="00531BE0"/>
    <w:rsid w:val="005334AC"/>
    <w:rsid w:val="00534B53"/>
    <w:rsid w:val="00536186"/>
    <w:rsid w:val="00536E61"/>
    <w:rsid w:val="00537F88"/>
    <w:rsid w:val="005407B6"/>
    <w:rsid w:val="00544CBB"/>
    <w:rsid w:val="00546E2E"/>
    <w:rsid w:val="00550A9F"/>
    <w:rsid w:val="00551B65"/>
    <w:rsid w:val="0055392D"/>
    <w:rsid w:val="00554713"/>
    <w:rsid w:val="005564DB"/>
    <w:rsid w:val="00556704"/>
    <w:rsid w:val="00557891"/>
    <w:rsid w:val="00561038"/>
    <w:rsid w:val="00563292"/>
    <w:rsid w:val="005635BE"/>
    <w:rsid w:val="005656D7"/>
    <w:rsid w:val="00565CE7"/>
    <w:rsid w:val="005700FD"/>
    <w:rsid w:val="00571B87"/>
    <w:rsid w:val="005723B2"/>
    <w:rsid w:val="005726B0"/>
    <w:rsid w:val="0057315F"/>
    <w:rsid w:val="00573806"/>
    <w:rsid w:val="00576104"/>
    <w:rsid w:val="005767A5"/>
    <w:rsid w:val="00577F83"/>
    <w:rsid w:val="005823B5"/>
    <w:rsid w:val="005841FC"/>
    <w:rsid w:val="00586418"/>
    <w:rsid w:val="00592B21"/>
    <w:rsid w:val="00593714"/>
    <w:rsid w:val="00593CF4"/>
    <w:rsid w:val="00596957"/>
    <w:rsid w:val="00597295"/>
    <w:rsid w:val="00597D8D"/>
    <w:rsid w:val="005A0C9A"/>
    <w:rsid w:val="005A18BD"/>
    <w:rsid w:val="005A1A70"/>
    <w:rsid w:val="005A3F3E"/>
    <w:rsid w:val="005A5A62"/>
    <w:rsid w:val="005A636F"/>
    <w:rsid w:val="005B0FE2"/>
    <w:rsid w:val="005B2DF4"/>
    <w:rsid w:val="005B2E8A"/>
    <w:rsid w:val="005B3107"/>
    <w:rsid w:val="005B364D"/>
    <w:rsid w:val="005B427A"/>
    <w:rsid w:val="005B44BF"/>
    <w:rsid w:val="005B514F"/>
    <w:rsid w:val="005B5CF4"/>
    <w:rsid w:val="005B6D86"/>
    <w:rsid w:val="005B6D98"/>
    <w:rsid w:val="005C0019"/>
    <w:rsid w:val="005C0132"/>
    <w:rsid w:val="005C0805"/>
    <w:rsid w:val="005C1D27"/>
    <w:rsid w:val="005C24E5"/>
    <w:rsid w:val="005C39AB"/>
    <w:rsid w:val="005C50C4"/>
    <w:rsid w:val="005C5B32"/>
    <w:rsid w:val="005C67C8"/>
    <w:rsid w:val="005C73EE"/>
    <w:rsid w:val="005D0249"/>
    <w:rsid w:val="005D03D4"/>
    <w:rsid w:val="005D18FA"/>
    <w:rsid w:val="005D1FCC"/>
    <w:rsid w:val="005D2566"/>
    <w:rsid w:val="005D2C10"/>
    <w:rsid w:val="005D4FD4"/>
    <w:rsid w:val="005D6B12"/>
    <w:rsid w:val="005D6E8C"/>
    <w:rsid w:val="005E0266"/>
    <w:rsid w:val="005E2913"/>
    <w:rsid w:val="005E3004"/>
    <w:rsid w:val="005E3A42"/>
    <w:rsid w:val="005E4921"/>
    <w:rsid w:val="005E68BB"/>
    <w:rsid w:val="005E75A4"/>
    <w:rsid w:val="005F100C"/>
    <w:rsid w:val="005F16F6"/>
    <w:rsid w:val="005F1DE6"/>
    <w:rsid w:val="005F3A15"/>
    <w:rsid w:val="005F3A80"/>
    <w:rsid w:val="005F4391"/>
    <w:rsid w:val="005F58FE"/>
    <w:rsid w:val="005F68DA"/>
    <w:rsid w:val="005F7419"/>
    <w:rsid w:val="006006B1"/>
    <w:rsid w:val="00601BC9"/>
    <w:rsid w:val="006023F9"/>
    <w:rsid w:val="006038C8"/>
    <w:rsid w:val="006040B4"/>
    <w:rsid w:val="0060754C"/>
    <w:rsid w:val="0060773B"/>
    <w:rsid w:val="006077FF"/>
    <w:rsid w:val="00612D58"/>
    <w:rsid w:val="00613FD6"/>
    <w:rsid w:val="00614B86"/>
    <w:rsid w:val="006157B5"/>
    <w:rsid w:val="00616FE0"/>
    <w:rsid w:val="00617154"/>
    <w:rsid w:val="00617224"/>
    <w:rsid w:val="00617FDE"/>
    <w:rsid w:val="006201E6"/>
    <w:rsid w:val="00620F0B"/>
    <w:rsid w:val="00623D70"/>
    <w:rsid w:val="00625E09"/>
    <w:rsid w:val="0062652A"/>
    <w:rsid w:val="00626DAA"/>
    <w:rsid w:val="00626FC6"/>
    <w:rsid w:val="0062767B"/>
    <w:rsid w:val="00627C93"/>
    <w:rsid w:val="006303B4"/>
    <w:rsid w:val="00630ADC"/>
    <w:rsid w:val="00631729"/>
    <w:rsid w:val="00631ACD"/>
    <w:rsid w:val="00633D3D"/>
    <w:rsid w:val="00636791"/>
    <w:rsid w:val="006416AD"/>
    <w:rsid w:val="00641703"/>
    <w:rsid w:val="00641BF9"/>
    <w:rsid w:val="006431A6"/>
    <w:rsid w:val="006433BE"/>
    <w:rsid w:val="00643E3A"/>
    <w:rsid w:val="00644ECE"/>
    <w:rsid w:val="006459F6"/>
    <w:rsid w:val="00645D5A"/>
    <w:rsid w:val="00647AD9"/>
    <w:rsid w:val="006501AD"/>
    <w:rsid w:val="00650FD1"/>
    <w:rsid w:val="00651BFA"/>
    <w:rsid w:val="00652D1E"/>
    <w:rsid w:val="00653699"/>
    <w:rsid w:val="00654475"/>
    <w:rsid w:val="00656577"/>
    <w:rsid w:val="00656DF0"/>
    <w:rsid w:val="00657E56"/>
    <w:rsid w:val="00660CBD"/>
    <w:rsid w:val="00663F9C"/>
    <w:rsid w:val="00665502"/>
    <w:rsid w:val="0066596F"/>
    <w:rsid w:val="00665A4B"/>
    <w:rsid w:val="00665DC9"/>
    <w:rsid w:val="00670C29"/>
    <w:rsid w:val="00670FAE"/>
    <w:rsid w:val="00672F57"/>
    <w:rsid w:val="00676D2F"/>
    <w:rsid w:val="00676F01"/>
    <w:rsid w:val="00677D4B"/>
    <w:rsid w:val="00677DBF"/>
    <w:rsid w:val="00681A4E"/>
    <w:rsid w:val="0068277C"/>
    <w:rsid w:val="00682F43"/>
    <w:rsid w:val="00683434"/>
    <w:rsid w:val="00686B05"/>
    <w:rsid w:val="00687D9F"/>
    <w:rsid w:val="00692A11"/>
    <w:rsid w:val="00692E2A"/>
    <w:rsid w:val="00693481"/>
    <w:rsid w:val="0069496A"/>
    <w:rsid w:val="006953FA"/>
    <w:rsid w:val="0069549A"/>
    <w:rsid w:val="00696C1C"/>
    <w:rsid w:val="006A41DE"/>
    <w:rsid w:val="006A4B88"/>
    <w:rsid w:val="006A7696"/>
    <w:rsid w:val="006A76F2"/>
    <w:rsid w:val="006B050B"/>
    <w:rsid w:val="006B1AD4"/>
    <w:rsid w:val="006B3037"/>
    <w:rsid w:val="006B428C"/>
    <w:rsid w:val="006B43CC"/>
    <w:rsid w:val="006B4E6B"/>
    <w:rsid w:val="006B622E"/>
    <w:rsid w:val="006B7260"/>
    <w:rsid w:val="006B7D29"/>
    <w:rsid w:val="006C05B7"/>
    <w:rsid w:val="006C1088"/>
    <w:rsid w:val="006C4A66"/>
    <w:rsid w:val="006C5082"/>
    <w:rsid w:val="006C5104"/>
    <w:rsid w:val="006C5D2F"/>
    <w:rsid w:val="006D017C"/>
    <w:rsid w:val="006D0AF5"/>
    <w:rsid w:val="006D106E"/>
    <w:rsid w:val="006D145A"/>
    <w:rsid w:val="006D169F"/>
    <w:rsid w:val="006D19D4"/>
    <w:rsid w:val="006D2DAF"/>
    <w:rsid w:val="006D3C8F"/>
    <w:rsid w:val="006D4ADB"/>
    <w:rsid w:val="006D5034"/>
    <w:rsid w:val="006D5644"/>
    <w:rsid w:val="006D5BCA"/>
    <w:rsid w:val="006D6007"/>
    <w:rsid w:val="006D667A"/>
    <w:rsid w:val="006D7923"/>
    <w:rsid w:val="006D7C69"/>
    <w:rsid w:val="006D7EFB"/>
    <w:rsid w:val="006E0C39"/>
    <w:rsid w:val="006E2D35"/>
    <w:rsid w:val="006E4315"/>
    <w:rsid w:val="006E4FAF"/>
    <w:rsid w:val="006E58D7"/>
    <w:rsid w:val="006E638B"/>
    <w:rsid w:val="006E6672"/>
    <w:rsid w:val="006E6722"/>
    <w:rsid w:val="006E7101"/>
    <w:rsid w:val="006F039C"/>
    <w:rsid w:val="006F6D42"/>
    <w:rsid w:val="006F71B8"/>
    <w:rsid w:val="006F7436"/>
    <w:rsid w:val="006F7AFF"/>
    <w:rsid w:val="007025B5"/>
    <w:rsid w:val="007027B9"/>
    <w:rsid w:val="007047D5"/>
    <w:rsid w:val="0070519B"/>
    <w:rsid w:val="007055F4"/>
    <w:rsid w:val="00705951"/>
    <w:rsid w:val="007066B5"/>
    <w:rsid w:val="00706D66"/>
    <w:rsid w:val="00706E76"/>
    <w:rsid w:val="00711DD6"/>
    <w:rsid w:val="007145A7"/>
    <w:rsid w:val="007145DA"/>
    <w:rsid w:val="00715BC2"/>
    <w:rsid w:val="00715E88"/>
    <w:rsid w:val="007169E2"/>
    <w:rsid w:val="00716D8B"/>
    <w:rsid w:val="0071701A"/>
    <w:rsid w:val="0072039D"/>
    <w:rsid w:val="00723437"/>
    <w:rsid w:val="00723B6C"/>
    <w:rsid w:val="00723EE5"/>
    <w:rsid w:val="007256E3"/>
    <w:rsid w:val="00726554"/>
    <w:rsid w:val="007265D5"/>
    <w:rsid w:val="00726DAA"/>
    <w:rsid w:val="00730218"/>
    <w:rsid w:val="00731576"/>
    <w:rsid w:val="00734CAA"/>
    <w:rsid w:val="0073584A"/>
    <w:rsid w:val="007363EE"/>
    <w:rsid w:val="00740EE2"/>
    <w:rsid w:val="00741C50"/>
    <w:rsid w:val="00741D8E"/>
    <w:rsid w:val="00742680"/>
    <w:rsid w:val="007435A7"/>
    <w:rsid w:val="007445C6"/>
    <w:rsid w:val="0074579B"/>
    <w:rsid w:val="00746943"/>
    <w:rsid w:val="00747B72"/>
    <w:rsid w:val="007534EC"/>
    <w:rsid w:val="00753D17"/>
    <w:rsid w:val="0075533C"/>
    <w:rsid w:val="00755A18"/>
    <w:rsid w:val="00757581"/>
    <w:rsid w:val="007602F5"/>
    <w:rsid w:val="00760D36"/>
    <w:rsid w:val="007611A0"/>
    <w:rsid w:val="0076128F"/>
    <w:rsid w:val="007661A1"/>
    <w:rsid w:val="00767BFE"/>
    <w:rsid w:val="00772574"/>
    <w:rsid w:val="007735B2"/>
    <w:rsid w:val="00773E54"/>
    <w:rsid w:val="00774B38"/>
    <w:rsid w:val="00776BEA"/>
    <w:rsid w:val="0077732E"/>
    <w:rsid w:val="0078183C"/>
    <w:rsid w:val="00781DFC"/>
    <w:rsid w:val="007847C5"/>
    <w:rsid w:val="00784FCB"/>
    <w:rsid w:val="007875B8"/>
    <w:rsid w:val="00787688"/>
    <w:rsid w:val="00787827"/>
    <w:rsid w:val="00790BF8"/>
    <w:rsid w:val="00790F4A"/>
    <w:rsid w:val="00790F74"/>
    <w:rsid w:val="00791ABC"/>
    <w:rsid w:val="007935E6"/>
    <w:rsid w:val="0079421B"/>
    <w:rsid w:val="00794221"/>
    <w:rsid w:val="00795468"/>
    <w:rsid w:val="007968AD"/>
    <w:rsid w:val="00796D3F"/>
    <w:rsid w:val="007A131C"/>
    <w:rsid w:val="007A1683"/>
    <w:rsid w:val="007A21BE"/>
    <w:rsid w:val="007A3B6F"/>
    <w:rsid w:val="007A5C12"/>
    <w:rsid w:val="007A7CB0"/>
    <w:rsid w:val="007B03D1"/>
    <w:rsid w:val="007B1846"/>
    <w:rsid w:val="007B1A70"/>
    <w:rsid w:val="007B1C2F"/>
    <w:rsid w:val="007B31FB"/>
    <w:rsid w:val="007B5A1D"/>
    <w:rsid w:val="007B68A3"/>
    <w:rsid w:val="007B6B36"/>
    <w:rsid w:val="007C2541"/>
    <w:rsid w:val="007C2DA0"/>
    <w:rsid w:val="007C3941"/>
    <w:rsid w:val="007C46DC"/>
    <w:rsid w:val="007C4730"/>
    <w:rsid w:val="007C64B8"/>
    <w:rsid w:val="007D149F"/>
    <w:rsid w:val="007D21EB"/>
    <w:rsid w:val="007D4E66"/>
    <w:rsid w:val="007D594C"/>
    <w:rsid w:val="007D615D"/>
    <w:rsid w:val="007D6524"/>
    <w:rsid w:val="007D66A8"/>
    <w:rsid w:val="007D6B7D"/>
    <w:rsid w:val="007E003F"/>
    <w:rsid w:val="007E2BCE"/>
    <w:rsid w:val="007E511B"/>
    <w:rsid w:val="007E78E9"/>
    <w:rsid w:val="007E7977"/>
    <w:rsid w:val="007E7A7B"/>
    <w:rsid w:val="007F0CF8"/>
    <w:rsid w:val="007F5E1B"/>
    <w:rsid w:val="007F62CB"/>
    <w:rsid w:val="007F67EF"/>
    <w:rsid w:val="007F70FD"/>
    <w:rsid w:val="00801181"/>
    <w:rsid w:val="00802517"/>
    <w:rsid w:val="00803212"/>
    <w:rsid w:val="008041D1"/>
    <w:rsid w:val="008045CF"/>
    <w:rsid w:val="00806FF1"/>
    <w:rsid w:val="00810704"/>
    <w:rsid w:val="008117DF"/>
    <w:rsid w:val="00812254"/>
    <w:rsid w:val="00812C53"/>
    <w:rsid w:val="008142EC"/>
    <w:rsid w:val="00815020"/>
    <w:rsid w:val="00815B20"/>
    <w:rsid w:val="00815E75"/>
    <w:rsid w:val="00815F2E"/>
    <w:rsid w:val="0081601C"/>
    <w:rsid w:val="008164F2"/>
    <w:rsid w:val="00821395"/>
    <w:rsid w:val="00823798"/>
    <w:rsid w:val="00825438"/>
    <w:rsid w:val="00830E26"/>
    <w:rsid w:val="00831BF3"/>
    <w:rsid w:val="0083200D"/>
    <w:rsid w:val="0083340D"/>
    <w:rsid w:val="00834368"/>
    <w:rsid w:val="0083441A"/>
    <w:rsid w:val="008349B1"/>
    <w:rsid w:val="00836340"/>
    <w:rsid w:val="0083636C"/>
    <w:rsid w:val="00836EBA"/>
    <w:rsid w:val="008425D8"/>
    <w:rsid w:val="00842625"/>
    <w:rsid w:val="00843576"/>
    <w:rsid w:val="00843B64"/>
    <w:rsid w:val="00845152"/>
    <w:rsid w:val="00845261"/>
    <w:rsid w:val="008469D8"/>
    <w:rsid w:val="008478FC"/>
    <w:rsid w:val="00851014"/>
    <w:rsid w:val="00851C51"/>
    <w:rsid w:val="0085378A"/>
    <w:rsid w:val="008538F7"/>
    <w:rsid w:val="00856BE7"/>
    <w:rsid w:val="00860CFA"/>
    <w:rsid w:val="0086474A"/>
    <w:rsid w:val="008648D1"/>
    <w:rsid w:val="00865EB1"/>
    <w:rsid w:val="00866ACA"/>
    <w:rsid w:val="00867BFF"/>
    <w:rsid w:val="00870215"/>
    <w:rsid w:val="008714CE"/>
    <w:rsid w:val="00871542"/>
    <w:rsid w:val="00871A7D"/>
    <w:rsid w:val="00871F2F"/>
    <w:rsid w:val="00872BF6"/>
    <w:rsid w:val="0087796B"/>
    <w:rsid w:val="00881775"/>
    <w:rsid w:val="0088262D"/>
    <w:rsid w:val="00882DF2"/>
    <w:rsid w:val="008834F4"/>
    <w:rsid w:val="0088480A"/>
    <w:rsid w:val="00885B5A"/>
    <w:rsid w:val="0088662D"/>
    <w:rsid w:val="0088695B"/>
    <w:rsid w:val="0088757A"/>
    <w:rsid w:val="00890358"/>
    <w:rsid w:val="00891EA5"/>
    <w:rsid w:val="00892910"/>
    <w:rsid w:val="00892DE1"/>
    <w:rsid w:val="00893D2A"/>
    <w:rsid w:val="0089431B"/>
    <w:rsid w:val="00895668"/>
    <w:rsid w:val="008957DD"/>
    <w:rsid w:val="00897D98"/>
    <w:rsid w:val="008A05C2"/>
    <w:rsid w:val="008A104A"/>
    <w:rsid w:val="008A261B"/>
    <w:rsid w:val="008A2801"/>
    <w:rsid w:val="008A3BF9"/>
    <w:rsid w:val="008A3F62"/>
    <w:rsid w:val="008A5F6A"/>
    <w:rsid w:val="008A6DF2"/>
    <w:rsid w:val="008A7807"/>
    <w:rsid w:val="008A794B"/>
    <w:rsid w:val="008B1DF7"/>
    <w:rsid w:val="008B264E"/>
    <w:rsid w:val="008B3EED"/>
    <w:rsid w:val="008B4CC9"/>
    <w:rsid w:val="008B56B5"/>
    <w:rsid w:val="008B5F3E"/>
    <w:rsid w:val="008B725B"/>
    <w:rsid w:val="008B7CC3"/>
    <w:rsid w:val="008C0B15"/>
    <w:rsid w:val="008C0CC8"/>
    <w:rsid w:val="008C1FBD"/>
    <w:rsid w:val="008C5A39"/>
    <w:rsid w:val="008C7243"/>
    <w:rsid w:val="008C7C57"/>
    <w:rsid w:val="008D01BD"/>
    <w:rsid w:val="008D0E97"/>
    <w:rsid w:val="008D1ED6"/>
    <w:rsid w:val="008D25B9"/>
    <w:rsid w:val="008D2CA9"/>
    <w:rsid w:val="008D2DAD"/>
    <w:rsid w:val="008D3539"/>
    <w:rsid w:val="008D75E4"/>
    <w:rsid w:val="008D78E4"/>
    <w:rsid w:val="008D7ADA"/>
    <w:rsid w:val="008D7C99"/>
    <w:rsid w:val="008E0FCB"/>
    <w:rsid w:val="008E4D33"/>
    <w:rsid w:val="008E5088"/>
    <w:rsid w:val="008E5A71"/>
    <w:rsid w:val="008E64BE"/>
    <w:rsid w:val="008E6917"/>
    <w:rsid w:val="008F17EB"/>
    <w:rsid w:val="008F25AA"/>
    <w:rsid w:val="008F3F93"/>
    <w:rsid w:val="008F4D12"/>
    <w:rsid w:val="008F5CA8"/>
    <w:rsid w:val="008F6DFE"/>
    <w:rsid w:val="008F77F9"/>
    <w:rsid w:val="00901194"/>
    <w:rsid w:val="0090529F"/>
    <w:rsid w:val="00905AD7"/>
    <w:rsid w:val="009075A4"/>
    <w:rsid w:val="009125AF"/>
    <w:rsid w:val="0092178C"/>
    <w:rsid w:val="00923BA3"/>
    <w:rsid w:val="009247AC"/>
    <w:rsid w:val="00924BCF"/>
    <w:rsid w:val="0092628E"/>
    <w:rsid w:val="00930B88"/>
    <w:rsid w:val="0093456E"/>
    <w:rsid w:val="00935376"/>
    <w:rsid w:val="00935817"/>
    <w:rsid w:val="009366E2"/>
    <w:rsid w:val="00936F3F"/>
    <w:rsid w:val="00940DCC"/>
    <w:rsid w:val="00941001"/>
    <w:rsid w:val="0094179A"/>
    <w:rsid w:val="00943DC4"/>
    <w:rsid w:val="0094459E"/>
    <w:rsid w:val="00944DBC"/>
    <w:rsid w:val="009451BB"/>
    <w:rsid w:val="00946F01"/>
    <w:rsid w:val="009473E1"/>
    <w:rsid w:val="00947C17"/>
    <w:rsid w:val="00947CFA"/>
    <w:rsid w:val="00950977"/>
    <w:rsid w:val="00951A7B"/>
    <w:rsid w:val="00951B3D"/>
    <w:rsid w:val="00955493"/>
    <w:rsid w:val="00955512"/>
    <w:rsid w:val="009564A6"/>
    <w:rsid w:val="00957120"/>
    <w:rsid w:val="00957EF8"/>
    <w:rsid w:val="00963095"/>
    <w:rsid w:val="009658C2"/>
    <w:rsid w:val="00965F28"/>
    <w:rsid w:val="00966A53"/>
    <w:rsid w:val="00966CA2"/>
    <w:rsid w:val="00966E25"/>
    <w:rsid w:val="0096705F"/>
    <w:rsid w:val="00967621"/>
    <w:rsid w:val="00967E6A"/>
    <w:rsid w:val="009711FB"/>
    <w:rsid w:val="00972425"/>
    <w:rsid w:val="00972C49"/>
    <w:rsid w:val="009754CC"/>
    <w:rsid w:val="00980260"/>
    <w:rsid w:val="00980586"/>
    <w:rsid w:val="0098077A"/>
    <w:rsid w:val="00980AB2"/>
    <w:rsid w:val="009852EF"/>
    <w:rsid w:val="00985351"/>
    <w:rsid w:val="00986AA8"/>
    <w:rsid w:val="0099003C"/>
    <w:rsid w:val="009907B9"/>
    <w:rsid w:val="00990918"/>
    <w:rsid w:val="00990DF9"/>
    <w:rsid w:val="00990E1B"/>
    <w:rsid w:val="00990F37"/>
    <w:rsid w:val="009916A2"/>
    <w:rsid w:val="009920C7"/>
    <w:rsid w:val="00994F60"/>
    <w:rsid w:val="00995DBC"/>
    <w:rsid w:val="00996BF1"/>
    <w:rsid w:val="00997B82"/>
    <w:rsid w:val="00997BCE"/>
    <w:rsid w:val="009A061D"/>
    <w:rsid w:val="009A12C3"/>
    <w:rsid w:val="009A3A83"/>
    <w:rsid w:val="009A5154"/>
    <w:rsid w:val="009B0048"/>
    <w:rsid w:val="009B32D1"/>
    <w:rsid w:val="009B44C9"/>
    <w:rsid w:val="009B4A0F"/>
    <w:rsid w:val="009B5782"/>
    <w:rsid w:val="009B71AB"/>
    <w:rsid w:val="009C11D2"/>
    <w:rsid w:val="009C2532"/>
    <w:rsid w:val="009C42C1"/>
    <w:rsid w:val="009C4E2D"/>
    <w:rsid w:val="009C52E8"/>
    <w:rsid w:val="009C55D7"/>
    <w:rsid w:val="009C638E"/>
    <w:rsid w:val="009C6954"/>
    <w:rsid w:val="009C6C70"/>
    <w:rsid w:val="009C6C8E"/>
    <w:rsid w:val="009C6FE7"/>
    <w:rsid w:val="009C7804"/>
    <w:rsid w:val="009C7B0A"/>
    <w:rsid w:val="009D0B63"/>
    <w:rsid w:val="009D12F5"/>
    <w:rsid w:val="009D28CB"/>
    <w:rsid w:val="009D356D"/>
    <w:rsid w:val="009D4F21"/>
    <w:rsid w:val="009D563D"/>
    <w:rsid w:val="009D5CB8"/>
    <w:rsid w:val="009E0120"/>
    <w:rsid w:val="009E027F"/>
    <w:rsid w:val="009E307E"/>
    <w:rsid w:val="009E64B0"/>
    <w:rsid w:val="009E69D9"/>
    <w:rsid w:val="009E6D38"/>
    <w:rsid w:val="009E7307"/>
    <w:rsid w:val="009F23BC"/>
    <w:rsid w:val="009F2E94"/>
    <w:rsid w:val="009F596E"/>
    <w:rsid w:val="009F7B37"/>
    <w:rsid w:val="00A023C0"/>
    <w:rsid w:val="00A03722"/>
    <w:rsid w:val="00A03799"/>
    <w:rsid w:val="00A043B1"/>
    <w:rsid w:val="00A055BE"/>
    <w:rsid w:val="00A07870"/>
    <w:rsid w:val="00A07C54"/>
    <w:rsid w:val="00A07F19"/>
    <w:rsid w:val="00A10ABB"/>
    <w:rsid w:val="00A1194B"/>
    <w:rsid w:val="00A1348D"/>
    <w:rsid w:val="00A13C99"/>
    <w:rsid w:val="00A15C38"/>
    <w:rsid w:val="00A16415"/>
    <w:rsid w:val="00A1649B"/>
    <w:rsid w:val="00A176CA"/>
    <w:rsid w:val="00A2178F"/>
    <w:rsid w:val="00A220F7"/>
    <w:rsid w:val="00A2289F"/>
    <w:rsid w:val="00A232EE"/>
    <w:rsid w:val="00A23EB8"/>
    <w:rsid w:val="00A24787"/>
    <w:rsid w:val="00A24DB9"/>
    <w:rsid w:val="00A25084"/>
    <w:rsid w:val="00A25F9E"/>
    <w:rsid w:val="00A31E85"/>
    <w:rsid w:val="00A32D85"/>
    <w:rsid w:val="00A34AD8"/>
    <w:rsid w:val="00A35572"/>
    <w:rsid w:val="00A35F55"/>
    <w:rsid w:val="00A37199"/>
    <w:rsid w:val="00A378D3"/>
    <w:rsid w:val="00A4175F"/>
    <w:rsid w:val="00A44411"/>
    <w:rsid w:val="00A44EEE"/>
    <w:rsid w:val="00A468F3"/>
    <w:rsid w:val="00A469FA"/>
    <w:rsid w:val="00A46C76"/>
    <w:rsid w:val="00A47FB0"/>
    <w:rsid w:val="00A51A13"/>
    <w:rsid w:val="00A51FE4"/>
    <w:rsid w:val="00A524DB"/>
    <w:rsid w:val="00A53662"/>
    <w:rsid w:val="00A545D8"/>
    <w:rsid w:val="00A55B01"/>
    <w:rsid w:val="00A56B5B"/>
    <w:rsid w:val="00A60181"/>
    <w:rsid w:val="00A60336"/>
    <w:rsid w:val="00A603FF"/>
    <w:rsid w:val="00A60CBD"/>
    <w:rsid w:val="00A619B6"/>
    <w:rsid w:val="00A64160"/>
    <w:rsid w:val="00A648CA"/>
    <w:rsid w:val="00A657DD"/>
    <w:rsid w:val="00A666A6"/>
    <w:rsid w:val="00A666C7"/>
    <w:rsid w:val="00A673FE"/>
    <w:rsid w:val="00A675FD"/>
    <w:rsid w:val="00A7033C"/>
    <w:rsid w:val="00A72437"/>
    <w:rsid w:val="00A74094"/>
    <w:rsid w:val="00A803C8"/>
    <w:rsid w:val="00A8048B"/>
    <w:rsid w:val="00A80611"/>
    <w:rsid w:val="00A81499"/>
    <w:rsid w:val="00A84C80"/>
    <w:rsid w:val="00A85708"/>
    <w:rsid w:val="00A87154"/>
    <w:rsid w:val="00A95C43"/>
    <w:rsid w:val="00A965EE"/>
    <w:rsid w:val="00A96B3B"/>
    <w:rsid w:val="00A9792E"/>
    <w:rsid w:val="00A97AC8"/>
    <w:rsid w:val="00AA1BCE"/>
    <w:rsid w:val="00AA1F6A"/>
    <w:rsid w:val="00AA2E51"/>
    <w:rsid w:val="00AA31B0"/>
    <w:rsid w:val="00AA4016"/>
    <w:rsid w:val="00AA53B0"/>
    <w:rsid w:val="00AA5BF4"/>
    <w:rsid w:val="00AA6FDE"/>
    <w:rsid w:val="00AA705E"/>
    <w:rsid w:val="00AB38D2"/>
    <w:rsid w:val="00AB3B26"/>
    <w:rsid w:val="00AB3E9B"/>
    <w:rsid w:val="00AB5340"/>
    <w:rsid w:val="00AC0A89"/>
    <w:rsid w:val="00AC0CCA"/>
    <w:rsid w:val="00AC2855"/>
    <w:rsid w:val="00AC30F5"/>
    <w:rsid w:val="00AC39AF"/>
    <w:rsid w:val="00AC65D1"/>
    <w:rsid w:val="00AC680B"/>
    <w:rsid w:val="00AC7C96"/>
    <w:rsid w:val="00AD1066"/>
    <w:rsid w:val="00AD29EE"/>
    <w:rsid w:val="00AD3593"/>
    <w:rsid w:val="00AD7ACF"/>
    <w:rsid w:val="00AE0812"/>
    <w:rsid w:val="00AE118E"/>
    <w:rsid w:val="00AE119F"/>
    <w:rsid w:val="00AE196C"/>
    <w:rsid w:val="00AE237D"/>
    <w:rsid w:val="00AE2C51"/>
    <w:rsid w:val="00AE502A"/>
    <w:rsid w:val="00AE6BB4"/>
    <w:rsid w:val="00AE7DA3"/>
    <w:rsid w:val="00AF0010"/>
    <w:rsid w:val="00AF094D"/>
    <w:rsid w:val="00AF0EC3"/>
    <w:rsid w:val="00AF1AA8"/>
    <w:rsid w:val="00AF2C1F"/>
    <w:rsid w:val="00AF2EEB"/>
    <w:rsid w:val="00AF5000"/>
    <w:rsid w:val="00AF7C07"/>
    <w:rsid w:val="00B00048"/>
    <w:rsid w:val="00B0048F"/>
    <w:rsid w:val="00B00AB0"/>
    <w:rsid w:val="00B02246"/>
    <w:rsid w:val="00B02583"/>
    <w:rsid w:val="00B03CDB"/>
    <w:rsid w:val="00B06C64"/>
    <w:rsid w:val="00B07D8E"/>
    <w:rsid w:val="00B10CE7"/>
    <w:rsid w:val="00B11CAC"/>
    <w:rsid w:val="00B12308"/>
    <w:rsid w:val="00B1232F"/>
    <w:rsid w:val="00B131E7"/>
    <w:rsid w:val="00B13D2A"/>
    <w:rsid w:val="00B14136"/>
    <w:rsid w:val="00B14C4B"/>
    <w:rsid w:val="00B15222"/>
    <w:rsid w:val="00B1548A"/>
    <w:rsid w:val="00B15A29"/>
    <w:rsid w:val="00B16BB2"/>
    <w:rsid w:val="00B22C93"/>
    <w:rsid w:val="00B24582"/>
    <w:rsid w:val="00B258C1"/>
    <w:rsid w:val="00B27087"/>
    <w:rsid w:val="00B27203"/>
    <w:rsid w:val="00B27589"/>
    <w:rsid w:val="00B312C9"/>
    <w:rsid w:val="00B31474"/>
    <w:rsid w:val="00B33F1A"/>
    <w:rsid w:val="00B33F64"/>
    <w:rsid w:val="00B405B7"/>
    <w:rsid w:val="00B426CD"/>
    <w:rsid w:val="00B44591"/>
    <w:rsid w:val="00B45922"/>
    <w:rsid w:val="00B468C0"/>
    <w:rsid w:val="00B47F74"/>
    <w:rsid w:val="00B5027A"/>
    <w:rsid w:val="00B505A2"/>
    <w:rsid w:val="00B52222"/>
    <w:rsid w:val="00B52292"/>
    <w:rsid w:val="00B531DA"/>
    <w:rsid w:val="00B54895"/>
    <w:rsid w:val="00B549F2"/>
    <w:rsid w:val="00B54FE7"/>
    <w:rsid w:val="00B55543"/>
    <w:rsid w:val="00B56FE3"/>
    <w:rsid w:val="00B57520"/>
    <w:rsid w:val="00B612AB"/>
    <w:rsid w:val="00B61D76"/>
    <w:rsid w:val="00B62407"/>
    <w:rsid w:val="00B638DB"/>
    <w:rsid w:val="00B63F6E"/>
    <w:rsid w:val="00B647C6"/>
    <w:rsid w:val="00B655F9"/>
    <w:rsid w:val="00B66901"/>
    <w:rsid w:val="00B66F60"/>
    <w:rsid w:val="00B7051C"/>
    <w:rsid w:val="00B706D0"/>
    <w:rsid w:val="00B70CE2"/>
    <w:rsid w:val="00B71E6D"/>
    <w:rsid w:val="00B72070"/>
    <w:rsid w:val="00B73042"/>
    <w:rsid w:val="00B734A3"/>
    <w:rsid w:val="00B739CC"/>
    <w:rsid w:val="00B73F5A"/>
    <w:rsid w:val="00B76023"/>
    <w:rsid w:val="00B76433"/>
    <w:rsid w:val="00B779E1"/>
    <w:rsid w:val="00B81E3A"/>
    <w:rsid w:val="00B81EBF"/>
    <w:rsid w:val="00B822A7"/>
    <w:rsid w:val="00B85CFB"/>
    <w:rsid w:val="00B90B5B"/>
    <w:rsid w:val="00B914E9"/>
    <w:rsid w:val="00B91C0F"/>
    <w:rsid w:val="00B91EE1"/>
    <w:rsid w:val="00B92379"/>
    <w:rsid w:val="00B94602"/>
    <w:rsid w:val="00B9705C"/>
    <w:rsid w:val="00BA006B"/>
    <w:rsid w:val="00BA0090"/>
    <w:rsid w:val="00BA0978"/>
    <w:rsid w:val="00BA133D"/>
    <w:rsid w:val="00BA1A67"/>
    <w:rsid w:val="00BA4A0A"/>
    <w:rsid w:val="00BA6A80"/>
    <w:rsid w:val="00BA6CFA"/>
    <w:rsid w:val="00BA7782"/>
    <w:rsid w:val="00BB1BB5"/>
    <w:rsid w:val="00BB409D"/>
    <w:rsid w:val="00BB4ABB"/>
    <w:rsid w:val="00BB6A2D"/>
    <w:rsid w:val="00BC0F67"/>
    <w:rsid w:val="00BC254A"/>
    <w:rsid w:val="00BC3581"/>
    <w:rsid w:val="00BC3D0E"/>
    <w:rsid w:val="00BC3F9F"/>
    <w:rsid w:val="00BC4297"/>
    <w:rsid w:val="00BC489D"/>
    <w:rsid w:val="00BC507E"/>
    <w:rsid w:val="00BC5645"/>
    <w:rsid w:val="00BC57A1"/>
    <w:rsid w:val="00BC62BA"/>
    <w:rsid w:val="00BC67D7"/>
    <w:rsid w:val="00BD456D"/>
    <w:rsid w:val="00BD473C"/>
    <w:rsid w:val="00BD604A"/>
    <w:rsid w:val="00BD704B"/>
    <w:rsid w:val="00BE03D7"/>
    <w:rsid w:val="00BE0EC1"/>
    <w:rsid w:val="00BE1C1F"/>
    <w:rsid w:val="00BE3EA9"/>
    <w:rsid w:val="00BE404C"/>
    <w:rsid w:val="00BE5431"/>
    <w:rsid w:val="00BE5B5F"/>
    <w:rsid w:val="00BE5BE5"/>
    <w:rsid w:val="00BE7993"/>
    <w:rsid w:val="00BE7D8C"/>
    <w:rsid w:val="00BE7E28"/>
    <w:rsid w:val="00BF02B7"/>
    <w:rsid w:val="00BF0CFE"/>
    <w:rsid w:val="00BF1D14"/>
    <w:rsid w:val="00BF26F4"/>
    <w:rsid w:val="00BF2AF8"/>
    <w:rsid w:val="00BF4B4F"/>
    <w:rsid w:val="00BF507F"/>
    <w:rsid w:val="00C003C5"/>
    <w:rsid w:val="00C0043D"/>
    <w:rsid w:val="00C0114A"/>
    <w:rsid w:val="00C01AD3"/>
    <w:rsid w:val="00C02299"/>
    <w:rsid w:val="00C0605A"/>
    <w:rsid w:val="00C07C7E"/>
    <w:rsid w:val="00C114B7"/>
    <w:rsid w:val="00C11971"/>
    <w:rsid w:val="00C179DE"/>
    <w:rsid w:val="00C202B3"/>
    <w:rsid w:val="00C20A74"/>
    <w:rsid w:val="00C20EFE"/>
    <w:rsid w:val="00C23C6D"/>
    <w:rsid w:val="00C26F55"/>
    <w:rsid w:val="00C30C63"/>
    <w:rsid w:val="00C30FF3"/>
    <w:rsid w:val="00C31551"/>
    <w:rsid w:val="00C32A38"/>
    <w:rsid w:val="00C32A9A"/>
    <w:rsid w:val="00C34201"/>
    <w:rsid w:val="00C34D5C"/>
    <w:rsid w:val="00C3589A"/>
    <w:rsid w:val="00C36B8B"/>
    <w:rsid w:val="00C3705C"/>
    <w:rsid w:val="00C37B74"/>
    <w:rsid w:val="00C37F8D"/>
    <w:rsid w:val="00C415C1"/>
    <w:rsid w:val="00C422E3"/>
    <w:rsid w:val="00C42763"/>
    <w:rsid w:val="00C433AC"/>
    <w:rsid w:val="00C43F22"/>
    <w:rsid w:val="00C450D1"/>
    <w:rsid w:val="00C457D8"/>
    <w:rsid w:val="00C47DBF"/>
    <w:rsid w:val="00C54FDE"/>
    <w:rsid w:val="00C552FF"/>
    <w:rsid w:val="00C55484"/>
    <w:rsid w:val="00C558DA"/>
    <w:rsid w:val="00C55AF3"/>
    <w:rsid w:val="00C56BC2"/>
    <w:rsid w:val="00C611FC"/>
    <w:rsid w:val="00C6563A"/>
    <w:rsid w:val="00C700D5"/>
    <w:rsid w:val="00C72EA6"/>
    <w:rsid w:val="00C74605"/>
    <w:rsid w:val="00C771A9"/>
    <w:rsid w:val="00C80913"/>
    <w:rsid w:val="00C82943"/>
    <w:rsid w:val="00C832DE"/>
    <w:rsid w:val="00C8347D"/>
    <w:rsid w:val="00C84759"/>
    <w:rsid w:val="00C86C21"/>
    <w:rsid w:val="00C87A02"/>
    <w:rsid w:val="00C87D9C"/>
    <w:rsid w:val="00C93096"/>
    <w:rsid w:val="00C9335F"/>
    <w:rsid w:val="00C943B2"/>
    <w:rsid w:val="00C95B7D"/>
    <w:rsid w:val="00C97EA3"/>
    <w:rsid w:val="00CA1198"/>
    <w:rsid w:val="00CA161C"/>
    <w:rsid w:val="00CA2744"/>
    <w:rsid w:val="00CA3392"/>
    <w:rsid w:val="00CA3D46"/>
    <w:rsid w:val="00CA5B48"/>
    <w:rsid w:val="00CA5CA9"/>
    <w:rsid w:val="00CA6154"/>
    <w:rsid w:val="00CA6C7F"/>
    <w:rsid w:val="00CA79C3"/>
    <w:rsid w:val="00CA7E77"/>
    <w:rsid w:val="00CB007D"/>
    <w:rsid w:val="00CB1EBE"/>
    <w:rsid w:val="00CB229E"/>
    <w:rsid w:val="00CB2628"/>
    <w:rsid w:val="00CB38F6"/>
    <w:rsid w:val="00CB60CA"/>
    <w:rsid w:val="00CC06FE"/>
    <w:rsid w:val="00CC0DD8"/>
    <w:rsid w:val="00CC0FC7"/>
    <w:rsid w:val="00CC10A6"/>
    <w:rsid w:val="00CC1D53"/>
    <w:rsid w:val="00CC6C74"/>
    <w:rsid w:val="00CC6D5F"/>
    <w:rsid w:val="00CD282C"/>
    <w:rsid w:val="00CD2A00"/>
    <w:rsid w:val="00CD3A0F"/>
    <w:rsid w:val="00CD585A"/>
    <w:rsid w:val="00CD5EB8"/>
    <w:rsid w:val="00CD600D"/>
    <w:rsid w:val="00CD6283"/>
    <w:rsid w:val="00CD7044"/>
    <w:rsid w:val="00CD71AC"/>
    <w:rsid w:val="00CD78A7"/>
    <w:rsid w:val="00CE08B9"/>
    <w:rsid w:val="00CE13C3"/>
    <w:rsid w:val="00CE25B9"/>
    <w:rsid w:val="00CE29CB"/>
    <w:rsid w:val="00CE3515"/>
    <w:rsid w:val="00CE35A0"/>
    <w:rsid w:val="00CE502E"/>
    <w:rsid w:val="00CE524C"/>
    <w:rsid w:val="00CE5F69"/>
    <w:rsid w:val="00CF1321"/>
    <w:rsid w:val="00CF141F"/>
    <w:rsid w:val="00CF4777"/>
    <w:rsid w:val="00CF5AF9"/>
    <w:rsid w:val="00CF65C8"/>
    <w:rsid w:val="00CF6FD8"/>
    <w:rsid w:val="00D013F5"/>
    <w:rsid w:val="00D02286"/>
    <w:rsid w:val="00D036A3"/>
    <w:rsid w:val="00D049C8"/>
    <w:rsid w:val="00D05E3F"/>
    <w:rsid w:val="00D063CE"/>
    <w:rsid w:val="00D067BB"/>
    <w:rsid w:val="00D07009"/>
    <w:rsid w:val="00D100F2"/>
    <w:rsid w:val="00D12327"/>
    <w:rsid w:val="00D1352A"/>
    <w:rsid w:val="00D14D8F"/>
    <w:rsid w:val="00D15BB4"/>
    <w:rsid w:val="00D1638E"/>
    <w:rsid w:val="00D169AF"/>
    <w:rsid w:val="00D16FB9"/>
    <w:rsid w:val="00D200EF"/>
    <w:rsid w:val="00D21475"/>
    <w:rsid w:val="00D24A13"/>
    <w:rsid w:val="00D25175"/>
    <w:rsid w:val="00D25249"/>
    <w:rsid w:val="00D258D4"/>
    <w:rsid w:val="00D26854"/>
    <w:rsid w:val="00D26BF5"/>
    <w:rsid w:val="00D33010"/>
    <w:rsid w:val="00D35835"/>
    <w:rsid w:val="00D36D0E"/>
    <w:rsid w:val="00D417B1"/>
    <w:rsid w:val="00D41D02"/>
    <w:rsid w:val="00D43D00"/>
    <w:rsid w:val="00D44172"/>
    <w:rsid w:val="00D46920"/>
    <w:rsid w:val="00D47607"/>
    <w:rsid w:val="00D479B4"/>
    <w:rsid w:val="00D47BE3"/>
    <w:rsid w:val="00D50042"/>
    <w:rsid w:val="00D505FA"/>
    <w:rsid w:val="00D5089E"/>
    <w:rsid w:val="00D51FD9"/>
    <w:rsid w:val="00D5427A"/>
    <w:rsid w:val="00D57009"/>
    <w:rsid w:val="00D60A08"/>
    <w:rsid w:val="00D60B22"/>
    <w:rsid w:val="00D60B33"/>
    <w:rsid w:val="00D60C5A"/>
    <w:rsid w:val="00D61551"/>
    <w:rsid w:val="00D620FD"/>
    <w:rsid w:val="00D63B8C"/>
    <w:rsid w:val="00D64630"/>
    <w:rsid w:val="00D648F6"/>
    <w:rsid w:val="00D663C0"/>
    <w:rsid w:val="00D6688B"/>
    <w:rsid w:val="00D67D13"/>
    <w:rsid w:val="00D70ED7"/>
    <w:rsid w:val="00D739CC"/>
    <w:rsid w:val="00D7498B"/>
    <w:rsid w:val="00D75F73"/>
    <w:rsid w:val="00D76371"/>
    <w:rsid w:val="00D76CD4"/>
    <w:rsid w:val="00D77C35"/>
    <w:rsid w:val="00D80134"/>
    <w:rsid w:val="00D806F9"/>
    <w:rsid w:val="00D8093D"/>
    <w:rsid w:val="00D8108C"/>
    <w:rsid w:val="00D822DE"/>
    <w:rsid w:val="00D832A0"/>
    <w:rsid w:val="00D842AE"/>
    <w:rsid w:val="00D84E8A"/>
    <w:rsid w:val="00D90BAA"/>
    <w:rsid w:val="00D9211C"/>
    <w:rsid w:val="00D92DE0"/>
    <w:rsid w:val="00D92FEF"/>
    <w:rsid w:val="00D931F9"/>
    <w:rsid w:val="00D93A0F"/>
    <w:rsid w:val="00D95755"/>
    <w:rsid w:val="00D97546"/>
    <w:rsid w:val="00D97A8A"/>
    <w:rsid w:val="00DA0885"/>
    <w:rsid w:val="00DA1BCA"/>
    <w:rsid w:val="00DA324E"/>
    <w:rsid w:val="00DA3663"/>
    <w:rsid w:val="00DA4BAB"/>
    <w:rsid w:val="00DA610F"/>
    <w:rsid w:val="00DA659A"/>
    <w:rsid w:val="00DA68FD"/>
    <w:rsid w:val="00DA780B"/>
    <w:rsid w:val="00DB08E6"/>
    <w:rsid w:val="00DB1314"/>
    <w:rsid w:val="00DB1C90"/>
    <w:rsid w:val="00DB1E21"/>
    <w:rsid w:val="00DB4647"/>
    <w:rsid w:val="00DB693B"/>
    <w:rsid w:val="00DC274A"/>
    <w:rsid w:val="00DC27C2"/>
    <w:rsid w:val="00DC46FF"/>
    <w:rsid w:val="00DC479E"/>
    <w:rsid w:val="00DC4F9B"/>
    <w:rsid w:val="00DC5254"/>
    <w:rsid w:val="00DC569D"/>
    <w:rsid w:val="00DC6661"/>
    <w:rsid w:val="00DC7A3A"/>
    <w:rsid w:val="00DC7EEC"/>
    <w:rsid w:val="00DD0D3E"/>
    <w:rsid w:val="00DD1A4F"/>
    <w:rsid w:val="00DD2BC1"/>
    <w:rsid w:val="00DD3107"/>
    <w:rsid w:val="00DD3130"/>
    <w:rsid w:val="00DD5908"/>
    <w:rsid w:val="00DD7C2C"/>
    <w:rsid w:val="00DE0F13"/>
    <w:rsid w:val="00DE298C"/>
    <w:rsid w:val="00DE2DE4"/>
    <w:rsid w:val="00DE335D"/>
    <w:rsid w:val="00DE34BD"/>
    <w:rsid w:val="00DE5BDA"/>
    <w:rsid w:val="00DE7BA0"/>
    <w:rsid w:val="00DF28A2"/>
    <w:rsid w:val="00DF344A"/>
    <w:rsid w:val="00DF38B8"/>
    <w:rsid w:val="00DF3B97"/>
    <w:rsid w:val="00DF433C"/>
    <w:rsid w:val="00DF519F"/>
    <w:rsid w:val="00DF5475"/>
    <w:rsid w:val="00DF6817"/>
    <w:rsid w:val="00E00008"/>
    <w:rsid w:val="00E0035A"/>
    <w:rsid w:val="00E00A79"/>
    <w:rsid w:val="00E05356"/>
    <w:rsid w:val="00E0673E"/>
    <w:rsid w:val="00E06797"/>
    <w:rsid w:val="00E06D79"/>
    <w:rsid w:val="00E07308"/>
    <w:rsid w:val="00E07443"/>
    <w:rsid w:val="00E10975"/>
    <w:rsid w:val="00E11F5D"/>
    <w:rsid w:val="00E1265B"/>
    <w:rsid w:val="00E12E09"/>
    <w:rsid w:val="00E13B48"/>
    <w:rsid w:val="00E1404F"/>
    <w:rsid w:val="00E170B3"/>
    <w:rsid w:val="00E20B37"/>
    <w:rsid w:val="00E21C83"/>
    <w:rsid w:val="00E2232C"/>
    <w:rsid w:val="00E224BC"/>
    <w:rsid w:val="00E23737"/>
    <w:rsid w:val="00E244E4"/>
    <w:rsid w:val="00E24ADA"/>
    <w:rsid w:val="00E258C9"/>
    <w:rsid w:val="00E258D1"/>
    <w:rsid w:val="00E263E1"/>
    <w:rsid w:val="00E27760"/>
    <w:rsid w:val="00E311E8"/>
    <w:rsid w:val="00E321C7"/>
    <w:rsid w:val="00E32F59"/>
    <w:rsid w:val="00E33B25"/>
    <w:rsid w:val="00E34240"/>
    <w:rsid w:val="00E37083"/>
    <w:rsid w:val="00E41908"/>
    <w:rsid w:val="00E4503F"/>
    <w:rsid w:val="00E46D9A"/>
    <w:rsid w:val="00E472C8"/>
    <w:rsid w:val="00E544F4"/>
    <w:rsid w:val="00E545E1"/>
    <w:rsid w:val="00E55328"/>
    <w:rsid w:val="00E565FF"/>
    <w:rsid w:val="00E56D6B"/>
    <w:rsid w:val="00E64DCB"/>
    <w:rsid w:val="00E65388"/>
    <w:rsid w:val="00E6709E"/>
    <w:rsid w:val="00E730CF"/>
    <w:rsid w:val="00E73A69"/>
    <w:rsid w:val="00E73E2E"/>
    <w:rsid w:val="00E73E7E"/>
    <w:rsid w:val="00E74160"/>
    <w:rsid w:val="00E74B03"/>
    <w:rsid w:val="00E75BE3"/>
    <w:rsid w:val="00E77018"/>
    <w:rsid w:val="00E7741D"/>
    <w:rsid w:val="00E808CD"/>
    <w:rsid w:val="00E8348F"/>
    <w:rsid w:val="00E85B7D"/>
    <w:rsid w:val="00E866CF"/>
    <w:rsid w:val="00E87E47"/>
    <w:rsid w:val="00E90931"/>
    <w:rsid w:val="00E9121B"/>
    <w:rsid w:val="00E9302E"/>
    <w:rsid w:val="00E9378C"/>
    <w:rsid w:val="00E976AB"/>
    <w:rsid w:val="00EA0AE2"/>
    <w:rsid w:val="00EA239D"/>
    <w:rsid w:val="00EA25BC"/>
    <w:rsid w:val="00EA39E5"/>
    <w:rsid w:val="00EA57A3"/>
    <w:rsid w:val="00EA57CE"/>
    <w:rsid w:val="00EB07D6"/>
    <w:rsid w:val="00EB20C0"/>
    <w:rsid w:val="00EC0BE4"/>
    <w:rsid w:val="00EC2813"/>
    <w:rsid w:val="00EC349F"/>
    <w:rsid w:val="00EC5A46"/>
    <w:rsid w:val="00EC63E2"/>
    <w:rsid w:val="00EC6C6F"/>
    <w:rsid w:val="00EC7456"/>
    <w:rsid w:val="00ED0225"/>
    <w:rsid w:val="00ED1B1A"/>
    <w:rsid w:val="00ED366A"/>
    <w:rsid w:val="00ED3A36"/>
    <w:rsid w:val="00ED42B5"/>
    <w:rsid w:val="00ED4699"/>
    <w:rsid w:val="00ED6BB7"/>
    <w:rsid w:val="00ED7498"/>
    <w:rsid w:val="00EE3279"/>
    <w:rsid w:val="00EE3CE1"/>
    <w:rsid w:val="00EE54A1"/>
    <w:rsid w:val="00EE5E19"/>
    <w:rsid w:val="00EE6A6E"/>
    <w:rsid w:val="00EE6BE4"/>
    <w:rsid w:val="00EF0951"/>
    <w:rsid w:val="00EF22B3"/>
    <w:rsid w:val="00EF314F"/>
    <w:rsid w:val="00EF37DE"/>
    <w:rsid w:val="00EF5366"/>
    <w:rsid w:val="00F01239"/>
    <w:rsid w:val="00F01791"/>
    <w:rsid w:val="00F03B69"/>
    <w:rsid w:val="00F04070"/>
    <w:rsid w:val="00F055C2"/>
    <w:rsid w:val="00F07A50"/>
    <w:rsid w:val="00F102D4"/>
    <w:rsid w:val="00F1061A"/>
    <w:rsid w:val="00F113DA"/>
    <w:rsid w:val="00F14198"/>
    <w:rsid w:val="00F15160"/>
    <w:rsid w:val="00F153B7"/>
    <w:rsid w:val="00F1559E"/>
    <w:rsid w:val="00F22360"/>
    <w:rsid w:val="00F22967"/>
    <w:rsid w:val="00F23252"/>
    <w:rsid w:val="00F266FC"/>
    <w:rsid w:val="00F27FFB"/>
    <w:rsid w:val="00F3037A"/>
    <w:rsid w:val="00F317CD"/>
    <w:rsid w:val="00F3465A"/>
    <w:rsid w:val="00F34FF8"/>
    <w:rsid w:val="00F37DC8"/>
    <w:rsid w:val="00F410E2"/>
    <w:rsid w:val="00F4240C"/>
    <w:rsid w:val="00F4294B"/>
    <w:rsid w:val="00F439B3"/>
    <w:rsid w:val="00F45202"/>
    <w:rsid w:val="00F47865"/>
    <w:rsid w:val="00F5120B"/>
    <w:rsid w:val="00F519E9"/>
    <w:rsid w:val="00F51F5F"/>
    <w:rsid w:val="00F5311F"/>
    <w:rsid w:val="00F533DC"/>
    <w:rsid w:val="00F53463"/>
    <w:rsid w:val="00F55C28"/>
    <w:rsid w:val="00F55F57"/>
    <w:rsid w:val="00F56012"/>
    <w:rsid w:val="00F56194"/>
    <w:rsid w:val="00F572BB"/>
    <w:rsid w:val="00F57539"/>
    <w:rsid w:val="00F57BFC"/>
    <w:rsid w:val="00F600D5"/>
    <w:rsid w:val="00F61D30"/>
    <w:rsid w:val="00F629EA"/>
    <w:rsid w:val="00F63534"/>
    <w:rsid w:val="00F635B7"/>
    <w:rsid w:val="00F63C9F"/>
    <w:rsid w:val="00F650C3"/>
    <w:rsid w:val="00F65CA1"/>
    <w:rsid w:val="00F65D85"/>
    <w:rsid w:val="00F665ED"/>
    <w:rsid w:val="00F66AB4"/>
    <w:rsid w:val="00F6700B"/>
    <w:rsid w:val="00F673E1"/>
    <w:rsid w:val="00F679EA"/>
    <w:rsid w:val="00F67F74"/>
    <w:rsid w:val="00F7137B"/>
    <w:rsid w:val="00F75E76"/>
    <w:rsid w:val="00F8084E"/>
    <w:rsid w:val="00F8091E"/>
    <w:rsid w:val="00F80EB3"/>
    <w:rsid w:val="00F80FB5"/>
    <w:rsid w:val="00F81F2A"/>
    <w:rsid w:val="00F82F20"/>
    <w:rsid w:val="00F83BF2"/>
    <w:rsid w:val="00F85716"/>
    <w:rsid w:val="00F8615C"/>
    <w:rsid w:val="00F90A77"/>
    <w:rsid w:val="00F91C4F"/>
    <w:rsid w:val="00F922D3"/>
    <w:rsid w:val="00F94B1B"/>
    <w:rsid w:val="00F969E5"/>
    <w:rsid w:val="00FA12A8"/>
    <w:rsid w:val="00FA1708"/>
    <w:rsid w:val="00FA3406"/>
    <w:rsid w:val="00FA4972"/>
    <w:rsid w:val="00FA5D35"/>
    <w:rsid w:val="00FA6A30"/>
    <w:rsid w:val="00FA6BB0"/>
    <w:rsid w:val="00FA7E13"/>
    <w:rsid w:val="00FB049E"/>
    <w:rsid w:val="00FB0C28"/>
    <w:rsid w:val="00FB2324"/>
    <w:rsid w:val="00FB2DBD"/>
    <w:rsid w:val="00FB3481"/>
    <w:rsid w:val="00FB3567"/>
    <w:rsid w:val="00FB4230"/>
    <w:rsid w:val="00FB539E"/>
    <w:rsid w:val="00FB6282"/>
    <w:rsid w:val="00FB65ED"/>
    <w:rsid w:val="00FB7E46"/>
    <w:rsid w:val="00FC03CF"/>
    <w:rsid w:val="00FD24DB"/>
    <w:rsid w:val="00FD2F80"/>
    <w:rsid w:val="00FD48DF"/>
    <w:rsid w:val="00FD5860"/>
    <w:rsid w:val="00FD6686"/>
    <w:rsid w:val="00FD6D11"/>
    <w:rsid w:val="00FE352D"/>
    <w:rsid w:val="00FE40EB"/>
    <w:rsid w:val="00FE4D02"/>
    <w:rsid w:val="00FE6A36"/>
    <w:rsid w:val="00FE7D62"/>
    <w:rsid w:val="00FE7E26"/>
    <w:rsid w:val="00FF0DA0"/>
    <w:rsid w:val="00FF1378"/>
    <w:rsid w:val="00FF3819"/>
    <w:rsid w:val="00FF3822"/>
    <w:rsid w:val="00FF476C"/>
    <w:rsid w:val="00FF4EA5"/>
    <w:rsid w:val="00FF556A"/>
    <w:rsid w:val="00FF5A9E"/>
    <w:rsid w:val="00FF704F"/>
    <w:rsid w:val="00FF7636"/>
    <w:rsid w:val="00FF7D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406B4B"/>
  <w15:docId w15:val="{CF410B7F-01E7-49A6-9717-B5D49C113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pPr>
    <w:rPr>
      <w:lang w:val="es-ES_tradnl" w:eastAsia="en-US"/>
    </w:rPr>
  </w:style>
  <w:style w:type="paragraph" w:styleId="Heading1">
    <w:name w:val="heading 1"/>
    <w:basedOn w:val="Normal"/>
    <w:next w:val="Normalnumber"/>
    <w:link w:val="Heading1Char"/>
    <w:qFormat/>
    <w:rsid w:val="000D6941"/>
    <w:pPr>
      <w:keepNext/>
      <w:spacing w:before="240" w:after="120"/>
      <w:ind w:left="1247" w:hanging="680"/>
      <w:outlineLvl w:val="0"/>
    </w:pPr>
    <w:rPr>
      <w:b/>
      <w:sz w:val="28"/>
    </w:rPr>
  </w:style>
  <w:style w:type="paragraph" w:styleId="Heading2">
    <w:name w:val="heading 2"/>
    <w:basedOn w:val="Normal"/>
    <w:next w:val="Normalnumber"/>
    <w:link w:val="Heading2Char"/>
    <w:qFormat/>
    <w:rsid w:val="000D6941"/>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0D6941"/>
    <w:pPr>
      <w:spacing w:after="120"/>
      <w:ind w:left="1247" w:hanging="680"/>
      <w:outlineLvl w:val="2"/>
    </w:pPr>
    <w:rPr>
      <w:b/>
    </w:rPr>
  </w:style>
  <w:style w:type="paragraph" w:styleId="Heading4">
    <w:name w:val="heading 4"/>
    <w:basedOn w:val="Heading3"/>
    <w:next w:val="Normalnumber"/>
    <w:link w:val="Heading4Char"/>
    <w:qFormat/>
    <w:rsid w:val="000D6941"/>
    <w:pPr>
      <w:keepNext/>
      <w:outlineLvl w:val="3"/>
    </w:pPr>
  </w:style>
  <w:style w:type="paragraph" w:styleId="Heading5">
    <w:name w:val="heading 5"/>
    <w:basedOn w:val="Normal"/>
    <w:next w:val="Normal"/>
    <w:link w:val="Heading5Char"/>
    <w:qFormat/>
    <w:rsid w:val="000D6941"/>
    <w:pPr>
      <w:keepNext/>
      <w:outlineLvl w:val="4"/>
    </w:pPr>
    <w:rPr>
      <w:rFonts w:ascii="Univers" w:hAnsi="Univers"/>
      <w:b/>
      <w:sz w:val="24"/>
    </w:rPr>
  </w:style>
  <w:style w:type="paragraph" w:styleId="Heading6">
    <w:name w:val="heading 6"/>
    <w:basedOn w:val="Normal"/>
    <w:next w:val="Normal"/>
    <w:link w:val="Heading6Char"/>
    <w:qFormat/>
    <w:rsid w:val="000D6941"/>
    <w:pPr>
      <w:keepNext/>
      <w:ind w:left="578"/>
      <w:outlineLvl w:val="5"/>
    </w:pPr>
    <w:rPr>
      <w:b/>
      <w:bCs/>
      <w:sz w:val="24"/>
    </w:rPr>
  </w:style>
  <w:style w:type="paragraph" w:styleId="Heading7">
    <w:name w:val="heading 7"/>
    <w:basedOn w:val="Normal"/>
    <w:next w:val="Normal"/>
    <w:link w:val="Heading7Char"/>
    <w:qFormat/>
    <w:rsid w:val="000D6941"/>
    <w:pPr>
      <w:keepNext/>
      <w:widowControl w:val="0"/>
      <w:jc w:val="center"/>
      <w:outlineLvl w:val="6"/>
    </w:pPr>
    <w:rPr>
      <w:snapToGrid w:val="0"/>
      <w:u w:val="single"/>
      <w:lang w:val="en-US"/>
    </w:rPr>
  </w:style>
  <w:style w:type="paragraph" w:styleId="Heading8">
    <w:name w:val="heading 8"/>
    <w:basedOn w:val="Normal"/>
    <w:next w:val="Normal"/>
    <w:link w:val="Heading8Char"/>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99003C"/>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F01791"/>
    <w:pPr>
      <w:keepNext/>
      <w:keepLines/>
      <w:tabs>
        <w:tab w:val="right" w:pos="851"/>
      </w:tabs>
      <w:suppressAutoHyphens/>
      <w:spacing w:before="240" w:after="120"/>
      <w:ind w:left="1247" w:right="284" w:hanging="1247"/>
    </w:pPr>
    <w:rPr>
      <w:b/>
      <w:sz w:val="24"/>
      <w:szCs w:val="24"/>
      <w:lang w:val="en-GB"/>
    </w:rPr>
  </w:style>
  <w:style w:type="paragraph" w:customStyle="1" w:styleId="CH3">
    <w:name w:val="CH3"/>
    <w:basedOn w:val="Normalpool"/>
    <w:next w:val="Normalnumber"/>
    <w:link w:val="CH3Char"/>
    <w:rsid w:val="00F01791"/>
    <w:pPr>
      <w:keepNext/>
      <w:keepLines/>
      <w:tabs>
        <w:tab w:val="right" w:pos="851"/>
      </w:tabs>
      <w:suppressAutoHyphens/>
      <w:spacing w:before="240" w:after="120"/>
      <w:ind w:left="1247" w:right="284" w:hanging="1247"/>
    </w:pPr>
    <w:rPr>
      <w:b/>
      <w:lang w:val="en-GB"/>
    </w:rPr>
  </w:style>
  <w:style w:type="paragraph" w:customStyle="1" w:styleId="CH4">
    <w:name w:val="CH4"/>
    <w:basedOn w:val="Normalpool"/>
    <w:next w:val="Normalnumber"/>
    <w:rsid w:val="00F01791"/>
    <w:pPr>
      <w:keepNext/>
      <w:keepLines/>
      <w:tabs>
        <w:tab w:val="right" w:pos="851"/>
      </w:tabs>
      <w:suppressAutoHyphens/>
      <w:spacing w:before="240"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
    <w:basedOn w:val="Normalpool"/>
    <w:link w:val="FootnoteTextChar"/>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val="fr-FR"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Unordered List,List Paragraph 2,Dot pt,F5 List Paragraph,List Paragraph1,No Spacing1,List Paragraph Char Char Char,Indicator Text,Numbered Para 1,Bullet 1,List Paragraph12,Bullet Points,MAIN CONTENT,Colorful List - Accent 11"/>
    <w:basedOn w:val="Normal"/>
    <w:link w:val="ListParagraphChar"/>
    <w:uiPriority w:val="34"/>
    <w:qFormat/>
    <w:rsid w:val="004A24F9"/>
    <w:pPr>
      <w:ind w:left="720"/>
    </w:p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rsid w:val="000D6941"/>
    <w:rPr>
      <w:rFonts w:ascii="Times New Roman" w:hAnsi="Times New Roman"/>
      <w:color w:val="auto"/>
      <w:sz w:val="20"/>
      <w:szCs w:val="20"/>
      <w:u w:val="none"/>
      <w:lang w:val="fr-FR"/>
    </w:rPr>
  </w:style>
  <w:style w:type="numbering" w:customStyle="1" w:styleId="Normallist">
    <w:name w:val="Normal_list"/>
    <w:basedOn w:val="NoList"/>
    <w:rsid w:val="003A77F1"/>
  </w:style>
  <w:style w:type="paragraph" w:customStyle="1" w:styleId="NormalNonumber">
    <w:name w:val="Normal_No_number"/>
    <w:basedOn w:val="Normalpool"/>
    <w:link w:val="NormalNonumberChar"/>
    <w:rsid w:val="00160D74"/>
    <w:pPr>
      <w:spacing w:after="120"/>
      <w:ind w:left="1247"/>
    </w:pPr>
    <w:rPr>
      <w:lang w:val="en-GB"/>
    </w:rPr>
  </w:style>
  <w:style w:type="paragraph" w:customStyle="1" w:styleId="Normalnumber">
    <w:name w:val="Normal_number"/>
    <w:basedOn w:val="Normalpool"/>
    <w:link w:val="NormalnumberChar"/>
    <w:rsid w:val="008F77F9"/>
    <w:pPr>
      <w:tabs>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uiPriority w:val="39"/>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uiPriority w:val="99"/>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evision">
    <w:name w:val="Revision"/>
    <w:hidden/>
    <w:uiPriority w:val="99"/>
    <w:semiHidden/>
    <w:rsid w:val="00D806F9"/>
    <w:rPr>
      <w:lang w:eastAsia="en-US"/>
    </w:rPr>
  </w:style>
  <w:style w:type="character" w:styleId="Emphasis">
    <w:name w:val="Emphasis"/>
    <w:basedOn w:val="DefaultParagraphFont"/>
    <w:uiPriority w:val="20"/>
    <w:qFormat/>
    <w:rsid w:val="00155A2F"/>
    <w:rPr>
      <w:i/>
      <w:iCs/>
    </w:rPr>
  </w:style>
  <w:style w:type="character" w:customStyle="1" w:styleId="CH2Char">
    <w:name w:val="CH2 Char"/>
    <w:link w:val="CH2"/>
    <w:locked/>
    <w:rsid w:val="00F01791"/>
    <w:rPr>
      <w:b/>
      <w:sz w:val="24"/>
      <w:szCs w:val="24"/>
      <w:lang w:eastAsia="en-US"/>
    </w:rPr>
  </w:style>
  <w:style w:type="character" w:customStyle="1" w:styleId="CH3Char">
    <w:name w:val="CH3 Char"/>
    <w:link w:val="CH3"/>
    <w:locked/>
    <w:rsid w:val="00F01791"/>
    <w:rPr>
      <w:b/>
      <w:lang w:eastAsia="en-US"/>
    </w:rPr>
  </w:style>
  <w:style w:type="character" w:customStyle="1" w:styleId="ZZAnxheaderChar">
    <w:name w:val="ZZ_Anx_header Char"/>
    <w:link w:val="ZZAnxheader"/>
    <w:uiPriority w:val="99"/>
    <w:locked/>
    <w:rsid w:val="0099003C"/>
    <w:rPr>
      <w:b/>
      <w:bCs/>
      <w:sz w:val="28"/>
      <w:szCs w:val="22"/>
      <w:lang w:eastAsia="en-US"/>
    </w:rPr>
  </w:style>
  <w:style w:type="character" w:customStyle="1" w:styleId="ZZAnxtitleChar">
    <w:name w:val="ZZ_Anx_title Char"/>
    <w:link w:val="ZZAnxtitle"/>
    <w:locked/>
    <w:rsid w:val="0099003C"/>
    <w:rPr>
      <w:b/>
      <w:bCs/>
      <w:sz w:val="28"/>
      <w:szCs w:val="26"/>
      <w:lang w:eastAsia="en-US"/>
    </w:rPr>
  </w:style>
  <w:style w:type="character" w:customStyle="1" w:styleId="Heading9Char">
    <w:name w:val="Heading 9 Char"/>
    <w:basedOn w:val="DefaultParagraphFont"/>
    <w:link w:val="Heading9"/>
    <w:rsid w:val="0099003C"/>
    <w:rPr>
      <w:snapToGrid w:val="0"/>
      <w:u w:val="single"/>
      <w:lang w:val="en-US" w:eastAsia="en-US"/>
    </w:rPr>
  </w:style>
  <w:style w:type="character" w:customStyle="1" w:styleId="NormalnumberChar">
    <w:name w:val="Normal_number Char"/>
    <w:link w:val="Normalnumber"/>
    <w:locked/>
    <w:rsid w:val="008F77F9"/>
    <w:rPr>
      <w:lang w:eastAsia="en-US"/>
    </w:rPr>
  </w:style>
  <w:style w:type="numbering" w:customStyle="1" w:styleId="WWNum25">
    <w:name w:val="WWNum25"/>
    <w:rsid w:val="0099003C"/>
    <w:pPr>
      <w:numPr>
        <w:numId w:val="4"/>
      </w:numPr>
    </w:pPr>
  </w:style>
  <w:style w:type="character" w:customStyle="1" w:styleId="Heading1Char">
    <w:name w:val="Heading 1 Char"/>
    <w:basedOn w:val="DefaultParagraphFont"/>
    <w:link w:val="Heading1"/>
    <w:rsid w:val="0099003C"/>
    <w:rPr>
      <w:b/>
      <w:sz w:val="28"/>
      <w:lang w:eastAsia="en-US"/>
    </w:rPr>
  </w:style>
  <w:style w:type="character" w:customStyle="1" w:styleId="Normal-poolChar">
    <w:name w:val="Normal-pool Char"/>
    <w:link w:val="Normal-pool"/>
    <w:rsid w:val="0099003C"/>
    <w:rPr>
      <w:lang w:eastAsia="en-US"/>
    </w:rPr>
  </w:style>
  <w:style w:type="character" w:customStyle="1" w:styleId="BBTitleChar">
    <w:name w:val="BB_Title Char"/>
    <w:link w:val="BBTitle"/>
    <w:rsid w:val="0099003C"/>
    <w:rPr>
      <w:b/>
      <w:sz w:val="28"/>
      <w:szCs w:val="28"/>
      <w:lang w:eastAsia="en-US"/>
    </w:rPr>
  </w:style>
  <w:style w:type="character" w:customStyle="1" w:styleId="NormalNonumberChar">
    <w:name w:val="Normal_No_number Char"/>
    <w:link w:val="NormalNonumber"/>
    <w:locked/>
    <w:rsid w:val="0099003C"/>
    <w:rPr>
      <w:lang w:eastAsia="en-US"/>
    </w:rPr>
  </w:style>
  <w:style w:type="numbering" w:customStyle="1" w:styleId="Importovanstyl4">
    <w:name w:val="Importovaný styl 4"/>
    <w:rsid w:val="0099003C"/>
    <w:pPr>
      <w:numPr>
        <w:numId w:val="5"/>
      </w:numPr>
    </w:pPr>
  </w:style>
  <w:style w:type="numbering" w:customStyle="1" w:styleId="Importovanstyl5">
    <w:name w:val="Importovaný styl 5"/>
    <w:rsid w:val="0099003C"/>
    <w:pPr>
      <w:numPr>
        <w:numId w:val="6"/>
      </w:numPr>
    </w:pPr>
  </w:style>
  <w:style w:type="numbering" w:customStyle="1" w:styleId="Importovanstyl6">
    <w:name w:val="Importovaný styl 6"/>
    <w:rsid w:val="0099003C"/>
    <w:pPr>
      <w:numPr>
        <w:numId w:val="7"/>
      </w:numPr>
    </w:pPr>
  </w:style>
  <w:style w:type="numbering" w:customStyle="1" w:styleId="Importovanstyl8">
    <w:name w:val="Importovaný styl 8"/>
    <w:rsid w:val="0099003C"/>
  </w:style>
  <w:style w:type="numbering" w:customStyle="1" w:styleId="Importovanstyl9">
    <w:name w:val="Importovaný styl 9"/>
    <w:rsid w:val="0099003C"/>
    <w:pPr>
      <w:numPr>
        <w:numId w:val="9"/>
      </w:numPr>
    </w:pPr>
  </w:style>
  <w:style w:type="character" w:customStyle="1" w:styleId="Heading2Char">
    <w:name w:val="Heading 2 Char"/>
    <w:basedOn w:val="DefaultParagraphFont"/>
    <w:link w:val="Heading2"/>
    <w:rsid w:val="0099003C"/>
    <w:rPr>
      <w:b/>
      <w:sz w:val="24"/>
      <w:szCs w:val="24"/>
      <w:lang w:eastAsia="en-US"/>
    </w:rPr>
  </w:style>
  <w:style w:type="character" w:customStyle="1" w:styleId="Heading3Char">
    <w:name w:val="Heading 3 Char"/>
    <w:basedOn w:val="DefaultParagraphFont"/>
    <w:link w:val="Heading3"/>
    <w:rsid w:val="0099003C"/>
    <w:rPr>
      <w:b/>
      <w:lang w:eastAsia="en-US"/>
    </w:rPr>
  </w:style>
  <w:style w:type="character" w:customStyle="1" w:styleId="Heading4Char">
    <w:name w:val="Heading 4 Char"/>
    <w:basedOn w:val="DefaultParagraphFont"/>
    <w:link w:val="Heading4"/>
    <w:rsid w:val="0099003C"/>
    <w:rPr>
      <w:b/>
      <w:lang w:eastAsia="en-US"/>
    </w:rPr>
  </w:style>
  <w:style w:type="character" w:customStyle="1" w:styleId="Heading5Char">
    <w:name w:val="Heading 5 Char"/>
    <w:basedOn w:val="DefaultParagraphFont"/>
    <w:link w:val="Heading5"/>
    <w:rsid w:val="0099003C"/>
    <w:rPr>
      <w:rFonts w:ascii="Univers" w:hAnsi="Univers"/>
      <w:b/>
      <w:sz w:val="24"/>
      <w:lang w:eastAsia="en-US"/>
    </w:rPr>
  </w:style>
  <w:style w:type="character" w:customStyle="1" w:styleId="Heading6Char">
    <w:name w:val="Heading 6 Char"/>
    <w:basedOn w:val="DefaultParagraphFont"/>
    <w:link w:val="Heading6"/>
    <w:rsid w:val="0099003C"/>
    <w:rPr>
      <w:b/>
      <w:bCs/>
      <w:sz w:val="24"/>
      <w:lang w:eastAsia="en-US"/>
    </w:rPr>
  </w:style>
  <w:style w:type="character" w:customStyle="1" w:styleId="Heading7Char">
    <w:name w:val="Heading 7 Char"/>
    <w:basedOn w:val="DefaultParagraphFont"/>
    <w:link w:val="Heading7"/>
    <w:rsid w:val="0099003C"/>
    <w:rPr>
      <w:snapToGrid w:val="0"/>
      <w:u w:val="single"/>
      <w:lang w:val="en-US" w:eastAsia="en-US"/>
    </w:rPr>
  </w:style>
  <w:style w:type="character" w:customStyle="1" w:styleId="Heading8Char">
    <w:name w:val="Heading 8 Char"/>
    <w:basedOn w:val="DefaultParagraphFont"/>
    <w:link w:val="Heading8"/>
    <w:rsid w:val="0099003C"/>
    <w:rPr>
      <w:snapToGrid w:val="0"/>
      <w:u w:val="single"/>
      <w:lang w:val="en-US" w:eastAsia="en-US"/>
    </w:rPr>
  </w:style>
  <w:style w:type="character" w:customStyle="1" w:styleId="UnresolvedMention1">
    <w:name w:val="Unresolved Mention1"/>
    <w:basedOn w:val="DefaultParagraphFont"/>
    <w:uiPriority w:val="99"/>
    <w:semiHidden/>
    <w:unhideWhenUsed/>
    <w:rsid w:val="0099003C"/>
    <w:rPr>
      <w:color w:val="808080"/>
      <w:shd w:val="clear" w:color="auto" w:fill="E6E6E6"/>
    </w:rPr>
  </w:style>
  <w:style w:type="paragraph" w:styleId="TOCHeading">
    <w:name w:val="TOC Heading"/>
    <w:basedOn w:val="Heading1"/>
    <w:next w:val="Normal"/>
    <w:uiPriority w:val="39"/>
    <w:unhideWhenUsed/>
    <w:qFormat/>
    <w:rsid w:val="0099003C"/>
    <w:pPr>
      <w:keepLines/>
      <w:spacing w:after="0"/>
      <w:ind w:left="0" w:firstLine="0"/>
      <w:outlineLvl w:val="9"/>
    </w:pPr>
    <w:rPr>
      <w:rFonts w:asciiTheme="majorHAnsi" w:eastAsiaTheme="majorEastAsia" w:hAnsiTheme="majorHAnsi" w:cstheme="majorBidi"/>
      <w:b w:val="0"/>
      <w:color w:val="365F91" w:themeColor="accent1" w:themeShade="BF"/>
      <w:sz w:val="32"/>
      <w:szCs w:val="32"/>
    </w:rPr>
  </w:style>
  <w:style w:type="character" w:styleId="FollowedHyperlink">
    <w:name w:val="FollowedHyperlink"/>
    <w:basedOn w:val="DefaultParagraphFont"/>
    <w:semiHidden/>
    <w:unhideWhenUsed/>
    <w:rsid w:val="0099003C"/>
    <w:rPr>
      <w:color w:val="800080" w:themeColor="followedHyperlink"/>
      <w:u w:val="single"/>
    </w:rPr>
  </w:style>
  <w:style w:type="character" w:customStyle="1" w:styleId="UnresolvedMention2">
    <w:name w:val="Unresolved Mention2"/>
    <w:basedOn w:val="DefaultParagraphFont"/>
    <w:uiPriority w:val="99"/>
    <w:semiHidden/>
    <w:unhideWhenUsed/>
    <w:rsid w:val="0099003C"/>
    <w:rPr>
      <w:color w:val="808080"/>
      <w:shd w:val="clear" w:color="auto" w:fill="E6E6E6"/>
    </w:rPr>
  </w:style>
  <w:style w:type="paragraph" w:styleId="NormalWeb">
    <w:name w:val="Normal (Web)"/>
    <w:basedOn w:val="Normal"/>
    <w:uiPriority w:val="99"/>
    <w:unhideWhenUsed/>
    <w:rsid w:val="0099003C"/>
    <w:pPr>
      <w:tabs>
        <w:tab w:val="clear" w:pos="1247"/>
        <w:tab w:val="clear" w:pos="1814"/>
        <w:tab w:val="clear" w:pos="2381"/>
        <w:tab w:val="clear" w:pos="2948"/>
        <w:tab w:val="clear" w:pos="3515"/>
      </w:tabs>
      <w:spacing w:before="100" w:beforeAutospacing="1" w:after="100" w:afterAutospacing="1"/>
    </w:pPr>
    <w:rPr>
      <w:rFonts w:eastAsiaTheme="minorEastAsia"/>
      <w:sz w:val="24"/>
      <w:szCs w:val="24"/>
      <w:lang w:eastAsia="en-GB"/>
    </w:rPr>
  </w:style>
  <w:style w:type="numbering" w:customStyle="1" w:styleId="ImportedStyle2">
    <w:name w:val="Imported Style 2"/>
    <w:rsid w:val="0099003C"/>
    <w:pPr>
      <w:numPr>
        <w:numId w:val="10"/>
      </w:numPr>
    </w:pPr>
  </w:style>
  <w:style w:type="character" w:customStyle="1" w:styleId="FooterChar">
    <w:name w:val="Footer Char"/>
    <w:basedOn w:val="DefaultParagraphFont"/>
    <w:link w:val="Footer"/>
    <w:uiPriority w:val="99"/>
    <w:rsid w:val="009B44C9"/>
    <w:rPr>
      <w:sz w:val="18"/>
      <w:lang w:eastAsia="en-US"/>
    </w:rPr>
  </w:style>
  <w:style w:type="paragraph" w:styleId="BodyText">
    <w:name w:val="Body Text"/>
    <w:basedOn w:val="Normal"/>
    <w:link w:val="BodyTextChar"/>
    <w:rsid w:val="00681A4E"/>
    <w:pPr>
      <w:tabs>
        <w:tab w:val="clear" w:pos="1247"/>
        <w:tab w:val="clear" w:pos="1814"/>
        <w:tab w:val="clear" w:pos="2381"/>
        <w:tab w:val="clear" w:pos="2948"/>
        <w:tab w:val="clear" w:pos="3515"/>
      </w:tabs>
    </w:pPr>
    <w:rPr>
      <w:rFonts w:eastAsia="SimSun"/>
      <w:sz w:val="22"/>
      <w:szCs w:val="24"/>
      <w:lang w:val="en-US"/>
    </w:rPr>
  </w:style>
  <w:style w:type="character" w:customStyle="1" w:styleId="BodyTextChar">
    <w:name w:val="Body Text Char"/>
    <w:basedOn w:val="DefaultParagraphFont"/>
    <w:link w:val="BodyText"/>
    <w:rsid w:val="00681A4E"/>
    <w:rPr>
      <w:rFonts w:eastAsia="SimSun"/>
      <w:sz w:val="22"/>
      <w:szCs w:val="24"/>
      <w:lang w:val="en-US" w:eastAsia="en-US"/>
    </w:rPr>
  </w:style>
  <w:style w:type="paragraph" w:customStyle="1" w:styleId="StyleJW">
    <w:name w:val="Style JW"/>
    <w:basedOn w:val="BodyText"/>
    <w:qFormat/>
    <w:rsid w:val="00EF0951"/>
    <w:pPr>
      <w:tabs>
        <w:tab w:val="left" w:pos="720"/>
        <w:tab w:val="left" w:pos="2160"/>
        <w:tab w:val="center" w:pos="4677"/>
      </w:tabs>
      <w:suppressAutoHyphens/>
      <w:outlineLvl w:val="0"/>
    </w:pPr>
    <w:rPr>
      <w:rFonts w:ascii="Arial" w:hAnsi="Arial" w:cs="Arial"/>
      <w:b/>
      <w:bCs/>
      <w:sz w:val="28"/>
      <w:szCs w:val="28"/>
    </w:rPr>
  </w:style>
  <w:style w:type="paragraph" w:customStyle="1" w:styleId="Text">
    <w:name w:val="Text"/>
    <w:rsid w:val="003F4DA7"/>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val="en-US"/>
    </w:rPr>
  </w:style>
  <w:style w:type="character" w:customStyle="1" w:styleId="job-value">
    <w:name w:val="job-value"/>
    <w:basedOn w:val="DefaultParagraphFont"/>
    <w:rsid w:val="00546E2E"/>
  </w:style>
  <w:style w:type="paragraph" w:customStyle="1" w:styleId="Default">
    <w:name w:val="Default"/>
    <w:rsid w:val="006D667A"/>
    <w:pPr>
      <w:suppressAutoHyphens/>
      <w:autoSpaceDE w:val="0"/>
    </w:pPr>
    <w:rPr>
      <w:rFonts w:ascii="Calibri" w:eastAsia="Arial" w:hAnsi="Calibri" w:cs="Calibri"/>
      <w:color w:val="000000"/>
      <w:sz w:val="24"/>
      <w:szCs w:val="24"/>
      <w:lang w:val="cs-CZ" w:eastAsia="ar-SA"/>
    </w:rPr>
  </w:style>
  <w:style w:type="paragraph" w:styleId="Caption">
    <w:name w:val="caption"/>
    <w:next w:val="Text"/>
    <w:rsid w:val="008B1DF7"/>
    <w:pPr>
      <w:pBdr>
        <w:top w:val="nil"/>
        <w:left w:val="nil"/>
        <w:bottom w:val="nil"/>
        <w:right w:val="nil"/>
        <w:between w:val="nil"/>
        <w:bar w:val="nil"/>
      </w:pBdr>
      <w:spacing w:after="200"/>
    </w:pPr>
    <w:rPr>
      <w:rFonts w:ascii="Calibri" w:eastAsia="Arial Unicode MS" w:hAnsi="Calibri" w:cs="Arial Unicode MS"/>
      <w:i/>
      <w:iCs/>
      <w:color w:val="44546A"/>
      <w:sz w:val="18"/>
      <w:szCs w:val="18"/>
      <w:u w:color="44546A"/>
      <w:bdr w:val="nil"/>
      <w:lang w:val="en-US"/>
    </w:rPr>
  </w:style>
  <w:style w:type="numbering" w:customStyle="1" w:styleId="Normallist1">
    <w:name w:val="Normal_list1"/>
    <w:basedOn w:val="NoList"/>
    <w:rsid w:val="005726B0"/>
  </w:style>
  <w:style w:type="numbering" w:customStyle="1" w:styleId="Normallist2">
    <w:name w:val="Normal_list2"/>
    <w:basedOn w:val="NoList"/>
    <w:rsid w:val="005726B0"/>
  </w:style>
  <w:style w:type="numbering" w:customStyle="1" w:styleId="Normallist3">
    <w:name w:val="Normal_list3"/>
    <w:basedOn w:val="NoList"/>
    <w:rsid w:val="005726B0"/>
  </w:style>
  <w:style w:type="numbering" w:customStyle="1" w:styleId="Normallist4">
    <w:name w:val="Normal_list4"/>
    <w:basedOn w:val="NoList"/>
    <w:rsid w:val="00F81F2A"/>
    <w:pPr>
      <w:numPr>
        <w:numId w:val="1"/>
      </w:numPr>
    </w:pPr>
  </w:style>
  <w:style w:type="character" w:customStyle="1" w:styleId="DeltaViewInsertion">
    <w:name w:val="DeltaView Insertion"/>
    <w:uiPriority w:val="99"/>
    <w:rsid w:val="00AA705E"/>
    <w:rPr>
      <w:color w:val="0000FF"/>
      <w:u w:val="double"/>
    </w:rPr>
  </w:style>
  <w:style w:type="numbering" w:customStyle="1" w:styleId="Normallist5">
    <w:name w:val="Normal_list5"/>
    <w:basedOn w:val="NoList"/>
    <w:rsid w:val="009D28CB"/>
    <w:pPr>
      <w:numPr>
        <w:numId w:val="8"/>
      </w:numPr>
    </w:pPr>
  </w:style>
  <w:style w:type="paragraph" w:styleId="EndnoteText">
    <w:name w:val="endnote text"/>
    <w:basedOn w:val="Normal"/>
    <w:link w:val="EndnoteTextChar"/>
    <w:semiHidden/>
    <w:unhideWhenUsed/>
    <w:rsid w:val="00027A66"/>
  </w:style>
  <w:style w:type="character" w:customStyle="1" w:styleId="EndnoteTextChar">
    <w:name w:val="Endnote Text Char"/>
    <w:basedOn w:val="DefaultParagraphFont"/>
    <w:link w:val="EndnoteText"/>
    <w:semiHidden/>
    <w:rsid w:val="00027A66"/>
    <w:rPr>
      <w:lang w:val="es-ES_tradnl" w:eastAsia="en-US"/>
    </w:rPr>
  </w:style>
  <w:style w:type="character" w:styleId="EndnoteReference">
    <w:name w:val="endnote reference"/>
    <w:basedOn w:val="DefaultParagraphFont"/>
    <w:semiHidden/>
    <w:unhideWhenUsed/>
    <w:rsid w:val="00027A66"/>
    <w:rPr>
      <w:vertAlign w:val="superscript"/>
    </w:rPr>
  </w:style>
  <w:style w:type="paragraph" w:customStyle="1" w:styleId="Corps">
    <w:name w:val="Corps"/>
    <w:rsid w:val="00901194"/>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paragraph" w:customStyle="1" w:styleId="Pardfaut">
    <w:name w:val="Par défaut"/>
    <w:rsid w:val="00901194"/>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character" w:customStyle="1" w:styleId="dn">
    <w:name w:val="Žádný"/>
    <w:rsid w:val="0055392D"/>
  </w:style>
  <w:style w:type="character" w:styleId="LineNumber">
    <w:name w:val="line number"/>
    <w:basedOn w:val="DefaultParagraphFont"/>
    <w:uiPriority w:val="99"/>
    <w:semiHidden/>
    <w:unhideWhenUsed/>
    <w:rsid w:val="0055392D"/>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Bullet 1 Char,List Paragraph12 Char"/>
    <w:basedOn w:val="DefaultParagraphFont"/>
    <w:link w:val="ListParagraph"/>
    <w:rsid w:val="0055392D"/>
    <w:rPr>
      <w:lang w:val="es-ES_tradnl" w:eastAsia="en-US"/>
    </w:rPr>
  </w:style>
  <w:style w:type="character" w:customStyle="1" w:styleId="SubtitleChar">
    <w:name w:val="Subtitle Char"/>
    <w:qFormat/>
    <w:rsid w:val="00F533DC"/>
    <w:rPr>
      <w:rFonts w:ascii="Cambria" w:eastAsia="Cambria" w:hAnsi="Cambria"/>
      <w:sz w:val="24"/>
    </w:rPr>
  </w:style>
  <w:style w:type="paragraph" w:styleId="List">
    <w:name w:val="List"/>
    <w:basedOn w:val="Normal"/>
    <w:unhideWhenUsed/>
    <w:rsid w:val="00CA2744"/>
    <w:pPr>
      <w:ind w:left="283" w:hanging="283"/>
      <w:contextualSpacing/>
    </w:pPr>
  </w:style>
  <w:style w:type="paragraph" w:styleId="List2">
    <w:name w:val="List 2"/>
    <w:basedOn w:val="Normal"/>
    <w:unhideWhenUsed/>
    <w:rsid w:val="00CA2744"/>
    <w:pPr>
      <w:ind w:left="566" w:hanging="283"/>
      <w:contextualSpacing/>
    </w:pPr>
  </w:style>
  <w:style w:type="paragraph" w:styleId="List3">
    <w:name w:val="List 3"/>
    <w:basedOn w:val="Normal"/>
    <w:unhideWhenUsed/>
    <w:rsid w:val="00CA2744"/>
    <w:pPr>
      <w:ind w:left="849" w:hanging="283"/>
      <w:contextualSpacing/>
    </w:pPr>
  </w:style>
  <w:style w:type="paragraph" w:styleId="List4">
    <w:name w:val="List 4"/>
    <w:basedOn w:val="Normal"/>
    <w:rsid w:val="00CA2744"/>
    <w:pPr>
      <w:ind w:left="1132" w:hanging="283"/>
      <w:contextualSpacing/>
    </w:pPr>
  </w:style>
  <w:style w:type="paragraph" w:styleId="List5">
    <w:name w:val="List 5"/>
    <w:basedOn w:val="Normal"/>
    <w:rsid w:val="00CA2744"/>
    <w:pPr>
      <w:ind w:left="1415" w:hanging="283"/>
      <w:contextualSpacing/>
    </w:pPr>
  </w:style>
  <w:style w:type="paragraph" w:styleId="MessageHeader">
    <w:name w:val="Message Header"/>
    <w:basedOn w:val="Normal"/>
    <w:link w:val="MessageHeaderChar"/>
    <w:unhideWhenUsed/>
    <w:rsid w:val="00CA274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CA2744"/>
    <w:rPr>
      <w:rFonts w:asciiTheme="majorHAnsi" w:eastAsiaTheme="majorEastAsia" w:hAnsiTheme="majorHAnsi" w:cstheme="majorBidi"/>
      <w:sz w:val="24"/>
      <w:szCs w:val="24"/>
      <w:shd w:val="pct20" w:color="auto" w:fill="auto"/>
      <w:lang w:val="es-ES_tradnl" w:eastAsia="en-US"/>
    </w:rPr>
  </w:style>
  <w:style w:type="paragraph" w:styleId="BodyTextFirstIndent">
    <w:name w:val="Body Text First Indent"/>
    <w:basedOn w:val="BodyText"/>
    <w:link w:val="BodyTextFirstIndentChar"/>
    <w:rsid w:val="00CA2744"/>
    <w:pPr>
      <w:tabs>
        <w:tab w:val="left" w:pos="1247"/>
        <w:tab w:val="left" w:pos="1814"/>
        <w:tab w:val="left" w:pos="2381"/>
        <w:tab w:val="left" w:pos="2948"/>
        <w:tab w:val="left" w:pos="3515"/>
      </w:tabs>
      <w:ind w:firstLine="360"/>
    </w:pPr>
    <w:rPr>
      <w:rFonts w:eastAsia="Times New Roman"/>
      <w:sz w:val="20"/>
      <w:szCs w:val="20"/>
      <w:lang w:val="es-ES_tradnl"/>
    </w:rPr>
  </w:style>
  <w:style w:type="character" w:customStyle="1" w:styleId="BodyTextFirstIndentChar">
    <w:name w:val="Body Text First Indent Char"/>
    <w:basedOn w:val="BodyTextChar"/>
    <w:link w:val="BodyTextFirstIndent"/>
    <w:rsid w:val="00CA2744"/>
    <w:rPr>
      <w:rFonts w:eastAsia="SimSun"/>
      <w:sz w:val="22"/>
      <w:szCs w:val="24"/>
      <w:lang w:val="es-ES_tradnl" w:eastAsia="en-US"/>
    </w:rPr>
  </w:style>
  <w:style w:type="paragraph" w:styleId="BodyTextIndent">
    <w:name w:val="Body Text Indent"/>
    <w:basedOn w:val="Normal"/>
    <w:link w:val="BodyTextIndentChar"/>
    <w:semiHidden/>
    <w:unhideWhenUsed/>
    <w:rsid w:val="00CA2744"/>
    <w:pPr>
      <w:spacing w:after="120"/>
      <w:ind w:left="283"/>
    </w:pPr>
  </w:style>
  <w:style w:type="character" w:customStyle="1" w:styleId="BodyTextIndentChar">
    <w:name w:val="Body Text Indent Char"/>
    <w:basedOn w:val="DefaultParagraphFont"/>
    <w:link w:val="BodyTextIndent"/>
    <w:semiHidden/>
    <w:rsid w:val="00CA2744"/>
    <w:rPr>
      <w:lang w:val="es-ES_tradnl" w:eastAsia="en-US"/>
    </w:rPr>
  </w:style>
  <w:style w:type="paragraph" w:styleId="BodyTextFirstIndent2">
    <w:name w:val="Body Text First Indent 2"/>
    <w:basedOn w:val="BodyTextIndent"/>
    <w:link w:val="BodyTextFirstIndent2Char"/>
    <w:unhideWhenUsed/>
    <w:rsid w:val="00CA2744"/>
    <w:pPr>
      <w:spacing w:after="0"/>
      <w:ind w:left="360" w:firstLine="360"/>
    </w:pPr>
  </w:style>
  <w:style w:type="character" w:customStyle="1" w:styleId="BodyTextFirstIndent2Char">
    <w:name w:val="Body Text First Indent 2 Char"/>
    <w:basedOn w:val="BodyTextIndentChar"/>
    <w:link w:val="BodyTextFirstIndent2"/>
    <w:rsid w:val="00CA2744"/>
    <w:rPr>
      <w:lang w:val="es-ES_tradnl" w:eastAsia="en-US"/>
    </w:rPr>
  </w:style>
  <w:style w:type="character" w:customStyle="1" w:styleId="btn">
    <w:name w:val="btn"/>
    <w:basedOn w:val="DefaultParagraphFont"/>
    <w:rsid w:val="00221DEE"/>
  </w:style>
  <w:style w:type="character" w:customStyle="1" w:styleId="enresult">
    <w:name w:val="enresult"/>
    <w:basedOn w:val="DefaultParagraphFont"/>
    <w:rsid w:val="00221DEE"/>
  </w:style>
  <w:style w:type="character" w:customStyle="1" w:styleId="preferred">
    <w:name w:val="preferred"/>
    <w:basedOn w:val="DefaultParagraphFont"/>
    <w:rsid w:val="00221DEE"/>
  </w:style>
  <w:style w:type="character" w:customStyle="1" w:styleId="esresult">
    <w:name w:val="esresult"/>
    <w:basedOn w:val="DefaultParagraphFont"/>
    <w:rsid w:val="00221DEE"/>
  </w:style>
  <w:style w:type="character" w:customStyle="1" w:styleId="dbname">
    <w:name w:val="dbname"/>
    <w:basedOn w:val="DefaultParagraphFont"/>
    <w:rsid w:val="00221DEE"/>
  </w:style>
  <w:style w:type="character" w:customStyle="1" w:styleId="rightlink">
    <w:name w:val="rightlink"/>
    <w:basedOn w:val="DefaultParagraphFont"/>
    <w:rsid w:val="00221DEE"/>
  </w:style>
  <w:style w:type="character" w:customStyle="1" w:styleId="subject">
    <w:name w:val="subject"/>
    <w:basedOn w:val="DefaultParagraphFont"/>
    <w:rsid w:val="00221DEE"/>
  </w:style>
  <w:style w:type="paragraph" w:customStyle="1" w:styleId="resulttext">
    <w:name w:val="resulttext"/>
    <w:basedOn w:val="Normal"/>
    <w:rsid w:val="00BE7D8C"/>
    <w:pPr>
      <w:tabs>
        <w:tab w:val="clear" w:pos="1247"/>
        <w:tab w:val="clear" w:pos="1814"/>
        <w:tab w:val="clear" w:pos="2381"/>
        <w:tab w:val="clear" w:pos="2948"/>
        <w:tab w:val="clear" w:pos="3515"/>
      </w:tabs>
      <w:spacing w:before="100" w:beforeAutospacing="1" w:after="100" w:afterAutospacing="1"/>
    </w:pPr>
    <w:rPr>
      <w:sz w:val="24"/>
      <w:szCs w:val="24"/>
      <w:lang w:eastAsia="es-ES_tradnl"/>
    </w:rPr>
  </w:style>
  <w:style w:type="paragraph" w:customStyle="1" w:styleId="showtext">
    <w:name w:val="showtext"/>
    <w:basedOn w:val="Normal"/>
    <w:rsid w:val="00BE7D8C"/>
    <w:pPr>
      <w:tabs>
        <w:tab w:val="clear" w:pos="1247"/>
        <w:tab w:val="clear" w:pos="1814"/>
        <w:tab w:val="clear" w:pos="2381"/>
        <w:tab w:val="clear" w:pos="2948"/>
        <w:tab w:val="clear" w:pos="3515"/>
      </w:tabs>
      <w:spacing w:before="100" w:beforeAutospacing="1" w:after="100" w:afterAutospacing="1"/>
    </w:pPr>
    <w:rPr>
      <w:sz w:val="24"/>
      <w:szCs w:val="24"/>
      <w:lang w:eastAsia="es-ES_tradnl"/>
    </w:rPr>
  </w:style>
  <w:style w:type="paragraph" w:customStyle="1" w:styleId="Style1">
    <w:name w:val="Style1"/>
    <w:basedOn w:val="Normal"/>
    <w:rsid w:val="000213E7"/>
    <w:pPr>
      <w:keepNext/>
      <w:keepLines/>
      <w:numPr>
        <w:numId w:val="11"/>
      </w:numPr>
      <w:tabs>
        <w:tab w:val="clear" w:pos="1247"/>
        <w:tab w:val="clear" w:pos="1814"/>
        <w:tab w:val="clear" w:pos="2381"/>
        <w:tab w:val="clear" w:pos="2948"/>
        <w:tab w:val="clear" w:pos="3515"/>
      </w:tabs>
      <w:spacing w:after="120"/>
      <w:ind w:left="1247" w:firstLine="624"/>
    </w:pPr>
  </w:style>
  <w:style w:type="character" w:customStyle="1" w:styleId="Inget">
    <w:name w:val="Inget"/>
    <w:rsid w:val="007B6B36"/>
  </w:style>
  <w:style w:type="paragraph" w:customStyle="1" w:styleId="Brdtext">
    <w:name w:val="Brödtext"/>
    <w:rsid w:val="007B6B36"/>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1247"/>
        <w:tab w:val="left" w:pos="1814"/>
        <w:tab w:val="left" w:pos="2381"/>
        <w:tab w:val="left" w:pos="2948"/>
        <w:tab w:val="left" w:pos="3515"/>
      </w:tabs>
    </w:pPr>
    <w:rPr>
      <w:rFonts w:eastAsia="Arial Unicode MS"/>
      <w:color w:val="000000"/>
      <w:sz w:val="24"/>
      <w:szCs w:val="24"/>
      <w:u w:color="000000"/>
    </w:rPr>
  </w:style>
  <w:style w:type="character" w:customStyle="1" w:styleId="Hyperlink0">
    <w:name w:val="Hyperlink.0"/>
    <w:uiPriority w:val="99"/>
    <w:rsid w:val="007B03D1"/>
    <w:rPr>
      <w:rFonts w:cs="Times New Roman"/>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218155">
      <w:bodyDiv w:val="1"/>
      <w:marLeft w:val="0"/>
      <w:marRight w:val="0"/>
      <w:marTop w:val="0"/>
      <w:marBottom w:val="0"/>
      <w:divBdr>
        <w:top w:val="none" w:sz="0" w:space="0" w:color="auto"/>
        <w:left w:val="none" w:sz="0" w:space="0" w:color="auto"/>
        <w:bottom w:val="none" w:sz="0" w:space="0" w:color="auto"/>
        <w:right w:val="none" w:sz="0" w:space="0" w:color="auto"/>
      </w:divBdr>
    </w:div>
    <w:div w:id="319626271">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01024298">
      <w:bodyDiv w:val="1"/>
      <w:marLeft w:val="0"/>
      <w:marRight w:val="0"/>
      <w:marTop w:val="0"/>
      <w:marBottom w:val="0"/>
      <w:divBdr>
        <w:top w:val="none" w:sz="0" w:space="0" w:color="auto"/>
        <w:left w:val="none" w:sz="0" w:space="0" w:color="auto"/>
        <w:bottom w:val="none" w:sz="0" w:space="0" w:color="auto"/>
        <w:right w:val="none" w:sz="0" w:space="0" w:color="auto"/>
      </w:divBdr>
    </w:div>
    <w:div w:id="704335109">
      <w:bodyDiv w:val="1"/>
      <w:marLeft w:val="0"/>
      <w:marRight w:val="0"/>
      <w:marTop w:val="0"/>
      <w:marBottom w:val="0"/>
      <w:divBdr>
        <w:top w:val="none" w:sz="0" w:space="0" w:color="auto"/>
        <w:left w:val="none" w:sz="0" w:space="0" w:color="auto"/>
        <w:bottom w:val="none" w:sz="0" w:space="0" w:color="auto"/>
        <w:right w:val="none" w:sz="0" w:space="0" w:color="auto"/>
      </w:divBdr>
    </w:div>
    <w:div w:id="829520472">
      <w:bodyDiv w:val="1"/>
      <w:marLeft w:val="0"/>
      <w:marRight w:val="0"/>
      <w:marTop w:val="0"/>
      <w:marBottom w:val="0"/>
      <w:divBdr>
        <w:top w:val="none" w:sz="0" w:space="0" w:color="auto"/>
        <w:left w:val="none" w:sz="0" w:space="0" w:color="auto"/>
        <w:bottom w:val="none" w:sz="0" w:space="0" w:color="auto"/>
        <w:right w:val="none" w:sz="0" w:space="0" w:color="auto"/>
      </w:divBdr>
    </w:div>
    <w:div w:id="112639193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84064003">
      <w:bodyDiv w:val="1"/>
      <w:marLeft w:val="0"/>
      <w:marRight w:val="0"/>
      <w:marTop w:val="0"/>
      <w:marBottom w:val="0"/>
      <w:divBdr>
        <w:top w:val="none" w:sz="0" w:space="0" w:color="auto"/>
        <w:left w:val="none" w:sz="0" w:space="0" w:color="auto"/>
        <w:bottom w:val="none" w:sz="0" w:space="0" w:color="auto"/>
        <w:right w:val="none" w:sz="0" w:space="0" w:color="auto"/>
      </w:divBdr>
    </w:div>
    <w:div w:id="1468549367">
      <w:bodyDiv w:val="1"/>
      <w:marLeft w:val="0"/>
      <w:marRight w:val="0"/>
      <w:marTop w:val="0"/>
      <w:marBottom w:val="0"/>
      <w:divBdr>
        <w:top w:val="none" w:sz="0" w:space="0" w:color="auto"/>
        <w:left w:val="none" w:sz="0" w:space="0" w:color="auto"/>
        <w:bottom w:val="none" w:sz="0" w:space="0" w:color="auto"/>
        <w:right w:val="none" w:sz="0" w:space="0" w:color="auto"/>
      </w:divBdr>
      <w:divsChild>
        <w:div w:id="1629623314">
          <w:marLeft w:val="0"/>
          <w:marRight w:val="0"/>
          <w:marTop w:val="0"/>
          <w:marBottom w:val="0"/>
          <w:divBdr>
            <w:top w:val="none" w:sz="0" w:space="0" w:color="auto"/>
            <w:left w:val="none" w:sz="0" w:space="0" w:color="auto"/>
            <w:bottom w:val="none" w:sz="0" w:space="0" w:color="auto"/>
            <w:right w:val="none" w:sz="0" w:space="0" w:color="auto"/>
          </w:divBdr>
        </w:div>
      </w:divsChild>
    </w:div>
    <w:div w:id="1619868979">
      <w:bodyDiv w:val="1"/>
      <w:marLeft w:val="0"/>
      <w:marRight w:val="0"/>
      <w:marTop w:val="0"/>
      <w:marBottom w:val="0"/>
      <w:divBdr>
        <w:top w:val="none" w:sz="0" w:space="0" w:color="auto"/>
        <w:left w:val="none" w:sz="0" w:space="0" w:color="auto"/>
        <w:bottom w:val="none" w:sz="0" w:space="0" w:color="auto"/>
        <w:right w:val="none" w:sz="0" w:space="0" w:color="auto"/>
      </w:divBdr>
    </w:div>
    <w:div w:id="1636522025">
      <w:bodyDiv w:val="1"/>
      <w:marLeft w:val="0"/>
      <w:marRight w:val="0"/>
      <w:marTop w:val="0"/>
      <w:marBottom w:val="0"/>
      <w:divBdr>
        <w:top w:val="none" w:sz="0" w:space="0" w:color="auto"/>
        <w:left w:val="none" w:sz="0" w:space="0" w:color="auto"/>
        <w:bottom w:val="none" w:sz="0" w:space="0" w:color="auto"/>
        <w:right w:val="none" w:sz="0" w:space="0" w:color="auto"/>
      </w:divBdr>
      <w:divsChild>
        <w:div w:id="2022270288">
          <w:marLeft w:val="0"/>
          <w:marRight w:val="0"/>
          <w:marTop w:val="0"/>
          <w:marBottom w:val="375"/>
          <w:divBdr>
            <w:top w:val="none" w:sz="0" w:space="0" w:color="auto"/>
            <w:left w:val="none" w:sz="0" w:space="0" w:color="auto"/>
            <w:bottom w:val="none" w:sz="0" w:space="0" w:color="auto"/>
            <w:right w:val="none" w:sz="0" w:space="0" w:color="auto"/>
          </w:divBdr>
          <w:divsChild>
            <w:div w:id="314729294">
              <w:marLeft w:val="0"/>
              <w:marRight w:val="90"/>
              <w:marTop w:val="0"/>
              <w:marBottom w:val="0"/>
              <w:divBdr>
                <w:top w:val="none" w:sz="0" w:space="0" w:color="auto"/>
                <w:left w:val="none" w:sz="0" w:space="0" w:color="auto"/>
                <w:bottom w:val="none" w:sz="0" w:space="0" w:color="auto"/>
                <w:right w:val="none" w:sz="0" w:space="0" w:color="auto"/>
              </w:divBdr>
            </w:div>
            <w:div w:id="137550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54260">
      <w:bodyDiv w:val="1"/>
      <w:marLeft w:val="0"/>
      <w:marRight w:val="0"/>
      <w:marTop w:val="0"/>
      <w:marBottom w:val="0"/>
      <w:divBdr>
        <w:top w:val="none" w:sz="0" w:space="0" w:color="auto"/>
        <w:left w:val="none" w:sz="0" w:space="0" w:color="auto"/>
        <w:bottom w:val="none" w:sz="0" w:space="0" w:color="auto"/>
        <w:right w:val="none" w:sz="0" w:space="0" w:color="auto"/>
      </w:divBdr>
    </w:div>
    <w:div w:id="2030835246">
      <w:bodyDiv w:val="1"/>
      <w:marLeft w:val="0"/>
      <w:marRight w:val="0"/>
      <w:marTop w:val="0"/>
      <w:marBottom w:val="0"/>
      <w:divBdr>
        <w:top w:val="none" w:sz="0" w:space="0" w:color="auto"/>
        <w:left w:val="none" w:sz="0" w:space="0" w:color="auto"/>
        <w:bottom w:val="none" w:sz="0" w:space="0" w:color="auto"/>
        <w:right w:val="none" w:sz="0" w:space="0" w:color="auto"/>
      </w:divBdr>
      <w:divsChild>
        <w:div w:id="1675065696">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A186B34AAF4047A570F9DFA6808567" ma:contentTypeVersion="13" ma:contentTypeDescription="Create a new document." ma:contentTypeScope="" ma:versionID="1cc8a332a1bb14574f5eec45bc848154">
  <xsd:schema xmlns:xsd="http://www.w3.org/2001/XMLSchema" xmlns:xs="http://www.w3.org/2001/XMLSchema" xmlns:p="http://schemas.microsoft.com/office/2006/metadata/properties" xmlns:ns2="822da31b-d518-49e2-88cd-1351ccd720a8" xmlns:ns3="8e99bad0-3155-475a-8063-b4d93685c2ad" targetNamespace="http://schemas.microsoft.com/office/2006/metadata/properties" ma:root="true" ma:fieldsID="53d468679aadc5c288c1ddd4b97a4759" ns2:_="" ns3:_="">
    <xsd:import namespace="822da31b-d518-49e2-88cd-1351ccd720a8"/>
    <xsd:import namespace="8e99bad0-3155-475a-8063-b4d93685c2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da31b-d518-49e2-88cd-1351ccd72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9bad0-3155-475a-8063-b4d93685c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33921-26AF-4E11-964E-295FF7E461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96084F-283E-48F9-BBCD-F32F33F87FA7}">
  <ds:schemaRefs>
    <ds:schemaRef ds:uri="http://schemas.microsoft.com/sharepoint/v3/contenttype/forms"/>
  </ds:schemaRefs>
</ds:datastoreItem>
</file>

<file path=customXml/itemProps3.xml><?xml version="1.0" encoding="utf-8"?>
<ds:datastoreItem xmlns:ds="http://schemas.openxmlformats.org/officeDocument/2006/customXml" ds:itemID="{89609453-39CD-4BA1-AF81-4C7D6849BC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da31b-d518-49e2-88cd-1351ccd720a8"/>
    <ds:schemaRef ds:uri="8e99bad0-3155-475a-8063-b4d93685c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3CDA75-0ADE-4DA8-8FB8-335CFD2E2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1302</Words>
  <Characters>7423</Characters>
  <Application>Microsoft Office Word</Application>
  <DocSecurity>0</DocSecurity>
  <Lines>61</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NATIONS UNIES</vt:lpstr>
      <vt:lpstr>NATIONS UNIES</vt:lpstr>
    </vt:vector>
  </TitlesOfParts>
  <Company>unon</Company>
  <LinksUpToDate>false</LinksUpToDate>
  <CharactersWithSpaces>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Pablo Garmon</cp:lastModifiedBy>
  <cp:revision>3</cp:revision>
  <cp:lastPrinted>2020-03-02T13:04:00Z</cp:lastPrinted>
  <dcterms:created xsi:type="dcterms:W3CDTF">2021-01-14T15:43:00Z</dcterms:created>
  <dcterms:modified xsi:type="dcterms:W3CDTF">2021-01-14T15:45:00Z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0x010100D4A186B34AAF4047A570F9DFA6808567</vt:lpwstr>
  </property>
</Properties>
</file>