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9640" w:type="dxa"/>
        <w:tblInd w:w="-34" w:type="dxa"/>
        <w:tblBorders>
          <w:bottom w:val="single" w:color="auto" w:sz="24" w:space="0"/>
          <w:insideH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:rsidTr="1B5B975E" w14:paraId="57B14945" w14:textId="77777777">
        <w:trPr>
          <w:cantSplit/>
          <w:trHeight w:val="624"/>
        </w:trPr>
        <w:tc>
          <w:tcPr>
            <w:tcW w:w="3403" w:type="dxa"/>
            <w:tcBorders>
              <w:bottom w:val="nil"/>
            </w:tcBorders>
            <w:tcMar/>
          </w:tcPr>
          <w:p w:rsidRPr="00934FB6" w:rsidR="00DE796A" w:rsidP="000B1AA7" w:rsidRDefault="00934FB6" w14:paraId="0D7BDFB7" w14:textId="7777777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tcMar/>
          </w:tcPr>
          <w:p w:rsidRPr="000844F9" w:rsidR="00DE796A" w:rsidP="00614BE8" w:rsidRDefault="00DE796A" w14:paraId="64421F22" w14:textId="77777777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:rsidTr="1B5B975E" w14:paraId="157883E7" w14:textId="77777777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color="auto" w:sz="4" w:space="0"/>
            </w:tcBorders>
            <w:tcMar/>
          </w:tcPr>
          <w:p w:rsidRPr="004B0A17" w:rsidR="004B0A17" w:rsidP="006D0402" w:rsidRDefault="00115715" w14:paraId="4754C7D0" w14:textId="232EB6DA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CF7C1E">
              <w:rPr>
                <w:rFonts w:cs="Times New Roman"/>
                <w:szCs w:val="20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bottom w:val="single" w:color="auto" w:sz="4" w:space="0"/>
            </w:tcBorders>
            <w:tcMar/>
          </w:tcPr>
          <w:p w:rsidRPr="004B0A17" w:rsidR="004B0A17" w:rsidP="004B0A17" w:rsidRDefault="004B0A17" w14:paraId="1A82580C" w14:textId="7777777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:rsidTr="1B5B975E" w14:paraId="2FA8CC95" w14:textId="77777777">
        <w:trPr>
          <w:cantSplit/>
          <w:trHeight w:val="2288"/>
        </w:trPr>
        <w:tc>
          <w:tcPr>
            <w:tcW w:w="3403" w:type="dxa"/>
            <w:tcBorders>
              <w:top w:val="single" w:color="auto" w:sz="4" w:space="0"/>
            </w:tcBorders>
            <w:tcMar/>
          </w:tcPr>
          <w:p w:rsidRPr="00A969A0" w:rsidR="00934FB6" w:rsidP="00B42C89" w:rsidRDefault="00934FB6" w14:paraId="4B68E998" w14:textId="77777777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:rsidRPr="00A969A0" w:rsidR="00934FB6" w:rsidP="00934FB6" w:rsidRDefault="0058742B" w14:paraId="12D63A4C" w14:textId="77777777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Pr="00A969A0" w:rsidR="00934FB6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:rsidRPr="00A969A0" w:rsidR="00934FB6" w:rsidP="00934FB6" w:rsidRDefault="00934FB6" w14:paraId="3F87336D" w14:textId="77777777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:rsidR="00DE796A" w:rsidP="00934FB6" w:rsidRDefault="00934FB6" w14:paraId="40CCB0D1" w14:textId="77777777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/>
          </w:tcPr>
          <w:p w:rsidR="00DE796A" w:rsidP="006D0402" w:rsidRDefault="00DE796A" w14:paraId="07A82210" w14:textId="77777777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tcMar/>
          </w:tcPr>
          <w:p w:rsidR="00DE796A" w:rsidP="007D019B" w:rsidRDefault="00933976" w14:paraId="582F7503" w14:textId="77777777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B5B975E">
              <w:rPr/>
              <w:t/>
            </w:r>
          </w:p>
        </w:tc>
      </w:tr>
    </w:tbl>
    <w:tbl>
      <w:tblPr>
        <w:bidiVisual/>
        <w:tblW w:w="9640" w:type="dxa"/>
        <w:tblInd w:w="106" w:type="dxa"/>
        <w:tblBorders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40"/>
      </w:tblGrid>
      <w:tr w:rsidR="0090002B" w:rsidTr="00115715" w14:paraId="30B9F7CA" w14:textId="77777777">
        <w:tc>
          <w:tcPr>
            <w:tcW w:w="9640" w:type="dxa"/>
          </w:tcPr>
          <w:p w:rsidR="006E1D97" w:rsidP="006D0402" w:rsidRDefault="00934FB6" w14:paraId="79BD3775" w14:textId="77777777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</w:p>
          <w:p w:rsidR="00934FB6" w:rsidP="006D0402" w:rsidRDefault="00934FB6" w14:paraId="6B0580B5" w14:textId="77777777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:rsidRPr="00A579D1" w:rsidR="00934FB6" w:rsidP="006D0402" w:rsidRDefault="00934FB6" w14:paraId="4D278DAC" w14:textId="77777777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:rsidRPr="00252FE5" w:rsidR="00AA32A0" w:rsidP="00F17B33" w:rsidRDefault="00934FB6" w14:paraId="0172EB4F" w14:textId="77777777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 w:ascii="Traditional Arabic" w:hAnsi="Traditional Arabic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hint="cs" w:ascii="Traditional Arabic" w:hAnsi="Traditional Arabic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hint="cs" w:ascii="Traditional Arabic" w:hAnsi="Traditional Arabic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hint="cs" w:ascii="Traditional Arabic" w:hAnsi="Traditional Arabic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hint="cs" w:ascii="Traditional Arabic" w:hAnsi="Traditional Arabic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hint="cs" w:ascii="Traditional Arabic" w:hAnsi="Traditional Arabic"/>
                <w:sz w:val="30"/>
                <w:rtl/>
              </w:rPr>
              <w:t>7</w:t>
            </w:r>
          </w:p>
        </w:tc>
      </w:tr>
    </w:tbl>
    <w:p w:rsidR="00377957" w:rsidP="00810ABD" w:rsidRDefault="00377957" w14:paraId="5EFB90CA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 w:eastAsia="Times New Roman"/>
          <w:b w:val="0"/>
          <w:bCs/>
          <w:sz w:val="34"/>
          <w:szCs w:val="34"/>
          <w:lang w:val="en-US" w:eastAsia="zh-TW"/>
        </w:rPr>
      </w:pPr>
    </w:p>
    <w:p w:rsidR="00377957" w:rsidP="00377957" w:rsidRDefault="00377957" w14:paraId="282DE620" w14:textId="2194DAFB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 w:eastAsia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hAnsi="Times New Roman" w:eastAsia="Times New Roman"/>
          <w:b w:val="0"/>
          <w:bCs/>
          <w:sz w:val="34"/>
          <w:szCs w:val="34"/>
          <w:rtl/>
          <w:lang w:val="en-US" w:eastAsia="zh-TW"/>
        </w:rPr>
        <w:t xml:space="preserve">المقرر الذي اعتمده مؤتمر الأطراف في اتفاقية </w:t>
      </w:r>
      <w:proofErr w:type="spellStart"/>
      <w:r w:rsidRPr="00377957">
        <w:rPr>
          <w:rFonts w:hAnsi="Times New Roman" w:eastAsia="Times New Roman"/>
          <w:b w:val="0"/>
          <w:bCs/>
          <w:sz w:val="34"/>
          <w:szCs w:val="34"/>
          <w:rtl/>
          <w:lang w:val="en-US" w:eastAsia="zh-TW"/>
        </w:rPr>
        <w:t>ميناماتا</w:t>
      </w:r>
      <w:proofErr w:type="spellEnd"/>
      <w:r w:rsidRPr="00377957">
        <w:rPr>
          <w:rFonts w:hAnsi="Times New Roman" w:eastAsia="Times New Roman"/>
          <w:b w:val="0"/>
          <w:bCs/>
          <w:sz w:val="34"/>
          <w:szCs w:val="34"/>
          <w:rtl/>
          <w:lang w:val="en-US" w:eastAsia="zh-TW"/>
        </w:rPr>
        <w:t xml:space="preserve"> بشأن الزئبق في اجتماعه الأول</w:t>
      </w:r>
    </w:p>
    <w:p w:rsidR="00377957" w:rsidP="00377957" w:rsidRDefault="00377957" w14:paraId="2A617C18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:rsidR="00377957" w:rsidP="00377957" w:rsidRDefault="00377957" w14:paraId="1F4FBCFA" w14:textId="7777777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:rsidRPr="00382B5A" w:rsidR="00CF7C1E" w:rsidP="00CF7C1E" w:rsidRDefault="00CF7C1E" w14:paraId="274E1E67" w14:textId="77777777">
      <w:pPr>
        <w:pStyle w:val="Heading1"/>
        <w:bidi/>
        <w:spacing w:before="360" w:line="380" w:lineRule="exact"/>
        <w:ind w:left="1134"/>
        <w:jc w:val="both"/>
        <w:rPr>
          <w:rFonts w:ascii="Traditional Arabic" w:hAnsi="Traditional Arabic"/>
          <w:b/>
          <w:bCs/>
          <w:sz w:val="32"/>
          <w:szCs w:val="32"/>
          <w:u w:val="none"/>
          <w:rtl/>
          <w:lang w:eastAsia="zh-TW"/>
        </w:rPr>
      </w:pPr>
      <w:bookmarkStart w:name="_Toc506205284" w:id="0"/>
      <w:r w:rsidRPr="00382B5A">
        <w:rPr>
          <w:rFonts w:ascii="Traditional Arabic" w:hAnsi="Traditional Arabic"/>
          <w:b/>
          <w:bCs/>
          <w:sz w:val="32"/>
          <w:szCs w:val="32"/>
          <w:u w:val="none"/>
          <w:rtl/>
          <w:lang w:eastAsia="zh-TW"/>
        </w:rPr>
        <w:t>المقرر ا م-1/9: وضع الترتيبات فيما يتعلق بتقييم الفعالية</w:t>
      </w:r>
      <w:bookmarkEnd w:id="0"/>
    </w:p>
    <w:p w:rsidRPr="00174AA1" w:rsidR="00CF7C1E" w:rsidP="00CF7C1E" w:rsidRDefault="00CF7C1E" w14:paraId="7AF118ED" w14:textId="77777777">
      <w:pPr>
        <w:bidi/>
        <w:spacing w:after="120" w:line="380" w:lineRule="exact"/>
        <w:ind w:left="1134" w:firstLine="707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i/>
          <w:iCs/>
          <w:sz w:val="30"/>
          <w:rtl/>
          <w:lang w:eastAsia="zh-TW"/>
        </w:rPr>
        <w:t>إن مؤتمر الأطراف،</w:t>
      </w:r>
    </w:p>
    <w:p w:rsidRPr="00174AA1" w:rsidR="00CF7C1E" w:rsidP="00CF7C1E" w:rsidRDefault="00CF7C1E" w14:paraId="0E562F31" w14:textId="77777777">
      <w:pPr>
        <w:bidi/>
        <w:spacing w:after="120" w:line="380" w:lineRule="exact"/>
        <w:ind w:left="1134" w:firstLine="707"/>
        <w:jc w:val="both"/>
        <w:textDirection w:val="tbRlV"/>
        <w:rPr>
          <w:rtl/>
          <w:lang w:eastAsia="zh-TW"/>
        </w:rPr>
      </w:pPr>
      <w:r w:rsidRPr="00174AA1">
        <w:rPr>
          <w:rFonts w:ascii="Traditional Arabic" w:hAnsi="Traditional Arabic"/>
          <w:i/>
          <w:iCs/>
          <w:sz w:val="30"/>
          <w:rtl/>
          <w:lang w:eastAsia="zh-TW"/>
        </w:rPr>
        <w:t>إذ يسلم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 بالحاجة الملحة لوضع </w:t>
      </w:r>
      <w:r w:rsidRPr="00174AA1">
        <w:rPr>
          <w:rtl/>
          <w:lang w:eastAsia="zh-TW"/>
        </w:rPr>
        <w:t xml:space="preserve">إطار لتقييم فعالية اتفاقية </w:t>
      </w:r>
      <w:proofErr w:type="spellStart"/>
      <w:r w:rsidRPr="00174AA1">
        <w:rPr>
          <w:rtl/>
          <w:lang w:eastAsia="zh-TW"/>
        </w:rPr>
        <w:t>ميناماتا</w:t>
      </w:r>
      <w:proofErr w:type="spellEnd"/>
      <w:r w:rsidRPr="00174AA1">
        <w:rPr>
          <w:rtl/>
          <w:lang w:eastAsia="zh-TW"/>
        </w:rPr>
        <w:t xml:space="preserve"> بشأن الزئبق يتضمن نهجاً استراتيجياً فعال الكلفة يوفر بيانات مناسبة وكافية،</w:t>
      </w:r>
    </w:p>
    <w:p w:rsidRPr="00174AA1" w:rsidR="00CF7C1E" w:rsidP="00CF7C1E" w:rsidRDefault="00CF7C1E" w14:paraId="1B5D1E47" w14:textId="77777777">
      <w:pPr>
        <w:bidi/>
        <w:spacing w:after="120" w:line="380" w:lineRule="exact"/>
        <w:ind w:left="1134" w:firstLine="707"/>
        <w:jc w:val="both"/>
        <w:textDirection w:val="tbRlV"/>
        <w:rPr>
          <w:rtl/>
          <w:lang w:eastAsia="zh-TW"/>
        </w:rPr>
      </w:pPr>
      <w:r w:rsidRPr="00174AA1">
        <w:rPr>
          <w:rFonts w:ascii="Traditional Arabic" w:hAnsi="Traditional Arabic"/>
          <w:i/>
          <w:iCs/>
          <w:sz w:val="30"/>
          <w:rtl/>
          <w:lang w:eastAsia="zh-TW"/>
        </w:rPr>
        <w:t>وإذ يحيط علماً</w:t>
      </w:r>
      <w:r w:rsidRPr="00174AA1">
        <w:rPr>
          <w:rtl/>
          <w:lang w:eastAsia="zh-TW"/>
        </w:rPr>
        <w:t xml:space="preserve"> بتجميع المعلومات التي أتيحت عن طريق عملية لجنة التفاوض الحكومية الدولية</w:t>
      </w:r>
      <w:r>
        <w:rPr>
          <w:rtl/>
          <w:lang w:eastAsia="zh-TW"/>
        </w:rPr>
        <w:t xml:space="preserve"> لإعداد صك عالمي ملزم قانوناً بشأن الزئبق</w:t>
      </w:r>
      <w:r w:rsidRPr="00174AA1">
        <w:rPr>
          <w:rtl/>
          <w:lang w:eastAsia="zh-TW"/>
        </w:rPr>
        <w:t>،</w:t>
      </w:r>
    </w:p>
    <w:p w:rsidRPr="00174AA1" w:rsidR="00CF7C1E" w:rsidP="00CF7C1E" w:rsidRDefault="00CF7C1E" w14:paraId="5E5F5B77" w14:textId="77777777">
      <w:pPr>
        <w:bidi/>
        <w:spacing w:after="120" w:line="380" w:lineRule="exact"/>
        <w:ind w:left="1134" w:firstLine="707"/>
        <w:jc w:val="both"/>
        <w:textDirection w:val="tbRlV"/>
        <w:rPr>
          <w:rtl/>
          <w:lang w:eastAsia="zh-TW"/>
        </w:rPr>
      </w:pPr>
      <w:r w:rsidRPr="00174AA1">
        <w:rPr>
          <w:rFonts w:ascii="Traditional Arabic" w:hAnsi="Traditional Arabic"/>
          <w:i/>
          <w:iCs/>
          <w:sz w:val="30"/>
          <w:rtl/>
          <w:lang w:eastAsia="zh-TW"/>
        </w:rPr>
        <w:t>وإذ يعترف</w:t>
      </w:r>
      <w:r w:rsidRPr="00174AA1">
        <w:rPr>
          <w:rtl/>
          <w:lang w:eastAsia="zh-TW"/>
        </w:rPr>
        <w:t xml:space="preserve"> بالتقييمات العالمية للزئبق التي طلبها مجلس إدارة برنامج الأمم المتحدة للبيئة </w:t>
      </w:r>
      <w:r>
        <w:rPr>
          <w:rtl/>
          <w:lang w:eastAsia="zh-TW"/>
        </w:rPr>
        <w:t>والتقييمات الأولية لاتفاقية</w:t>
      </w:r>
      <w:r w:rsidRPr="00174AA1">
        <w:rPr>
          <w:rtl/>
          <w:lang w:eastAsia="zh-TW"/>
        </w:rPr>
        <w:t xml:space="preserve"> </w:t>
      </w:r>
      <w:proofErr w:type="spellStart"/>
      <w:r w:rsidRPr="00174AA1">
        <w:rPr>
          <w:rtl/>
          <w:lang w:eastAsia="zh-TW"/>
        </w:rPr>
        <w:t>ميناماتا</w:t>
      </w:r>
      <w:proofErr w:type="spellEnd"/>
      <w:r w:rsidRPr="00174AA1">
        <w:rPr>
          <w:rtl/>
          <w:lang w:eastAsia="zh-TW"/>
        </w:rPr>
        <w:t xml:space="preserve"> بوصفها مصادر </w:t>
      </w:r>
      <w:proofErr w:type="gramStart"/>
      <w:r w:rsidRPr="00174AA1">
        <w:rPr>
          <w:rtl/>
          <w:lang w:eastAsia="zh-TW"/>
        </w:rPr>
        <w:t>هامة</w:t>
      </w:r>
      <w:proofErr w:type="gramEnd"/>
      <w:r w:rsidRPr="00174AA1">
        <w:rPr>
          <w:rtl/>
          <w:lang w:eastAsia="zh-TW"/>
        </w:rPr>
        <w:t xml:space="preserve"> للمعلومات تساهم في تقييم الفعالية،</w:t>
      </w:r>
    </w:p>
    <w:p w:rsidRPr="00174AA1" w:rsidR="00CF7C1E" w:rsidP="00CF7C1E" w:rsidRDefault="00CF7C1E" w14:paraId="0B44BDA0" w14:textId="77777777">
      <w:pPr>
        <w:tabs>
          <w:tab w:val="left" w:pos="2550"/>
        </w:tabs>
        <w:bidi/>
        <w:spacing w:after="120" w:line="380" w:lineRule="exact"/>
        <w:ind w:left="1134" w:firstLine="707"/>
        <w:jc w:val="both"/>
        <w:textDirection w:val="tbRlV"/>
        <w:rPr>
          <w:b/>
          <w:rtl/>
          <w:lang w:eastAsia="zh-TW"/>
        </w:rPr>
      </w:pPr>
      <w:r w:rsidRPr="00174AA1">
        <w:rPr>
          <w:rtl/>
          <w:lang w:eastAsia="zh-TW"/>
        </w:rPr>
        <w:t>1 -</w:t>
      </w:r>
      <w:r w:rsidRPr="00174AA1">
        <w:rPr>
          <w:rtl/>
          <w:lang w:eastAsia="zh-TW"/>
        </w:rPr>
        <w:tab/>
      </w:r>
      <w:r w:rsidRPr="00174AA1">
        <w:rPr>
          <w:i/>
          <w:iCs/>
          <w:rtl/>
          <w:lang w:eastAsia="zh-TW"/>
        </w:rPr>
        <w:t>يعتمد</w:t>
      </w:r>
      <w:r w:rsidRPr="00174AA1">
        <w:rPr>
          <w:rtl/>
          <w:lang w:eastAsia="zh-TW"/>
        </w:rPr>
        <w:t xml:space="preserve"> المرفقين الأول والثاني</w:t>
      </w:r>
      <w:r>
        <w:rPr>
          <w:rtl/>
          <w:lang w:eastAsia="zh-TW"/>
        </w:rPr>
        <w:t xml:space="preserve"> لهذا المقرر</w:t>
      </w:r>
      <w:r w:rsidRPr="00174AA1">
        <w:rPr>
          <w:rtl/>
          <w:lang w:eastAsia="zh-TW"/>
        </w:rPr>
        <w:t>؛</w:t>
      </w:r>
    </w:p>
    <w:p w:rsidRPr="00174AA1" w:rsidR="00CF7C1E" w:rsidP="00CF7C1E" w:rsidRDefault="00CF7C1E" w14:paraId="672B4AFC" w14:textId="77777777">
      <w:pPr>
        <w:tabs>
          <w:tab w:val="left" w:pos="2550"/>
        </w:tabs>
        <w:bidi/>
        <w:spacing w:after="360" w:line="380" w:lineRule="exact"/>
        <w:ind w:left="1134" w:firstLine="709"/>
        <w:jc w:val="both"/>
        <w:textDirection w:val="tbRlV"/>
        <w:rPr>
          <w:rFonts w:ascii="Traditional Arabic" w:hAnsi="Traditional Arabic"/>
          <w:sz w:val="34"/>
          <w:szCs w:val="34"/>
          <w:rtl/>
          <w:lang w:eastAsia="zh-TW"/>
        </w:rPr>
      </w:pPr>
      <w:r w:rsidRPr="00174AA1">
        <w:rPr>
          <w:rtl/>
          <w:lang w:eastAsia="zh-TW"/>
        </w:rPr>
        <w:t>2 -</w:t>
      </w:r>
      <w:r w:rsidRPr="00174AA1">
        <w:rPr>
          <w:rtl/>
          <w:lang w:eastAsia="zh-TW"/>
        </w:rPr>
        <w:tab/>
      </w:r>
      <w:r w:rsidRPr="00174AA1">
        <w:rPr>
          <w:i/>
          <w:iCs/>
          <w:rtl/>
          <w:lang w:eastAsia="zh-TW"/>
        </w:rPr>
        <w:t>يطلب</w:t>
      </w:r>
      <w:r w:rsidRPr="00174AA1">
        <w:rPr>
          <w:rtl/>
          <w:lang w:eastAsia="zh-TW"/>
        </w:rPr>
        <w:t xml:space="preserve"> إلى الأمانة أن تدعم الأعمال المحددة في هذين المرفقين.</w:t>
      </w:r>
    </w:p>
    <w:p w:rsidRPr="00D953AA" w:rsidR="00CF7C1E" w:rsidP="00CF7C1E" w:rsidRDefault="00CF7C1E" w14:paraId="02E897AB" w14:textId="77777777">
      <w:pPr>
        <w:bidi/>
        <w:spacing w:after="120" w:line="400" w:lineRule="exact"/>
        <w:ind w:left="1134"/>
        <w:rPr>
          <w:b/>
          <w:bCs/>
          <w:sz w:val="32"/>
          <w:szCs w:val="32"/>
          <w:rtl/>
          <w:lang w:eastAsia="zh-TW"/>
        </w:rPr>
      </w:pPr>
      <w:r w:rsidRPr="00D953AA">
        <w:rPr>
          <w:b/>
          <w:bCs/>
          <w:sz w:val="32"/>
          <w:szCs w:val="32"/>
          <w:rtl/>
          <w:lang w:eastAsia="zh-TW"/>
        </w:rPr>
        <w:t>المرفق الأول للمقرر ا م-1/9</w:t>
      </w:r>
    </w:p>
    <w:p w:rsidRPr="00174AA1" w:rsidR="00CF7C1E" w:rsidP="00CF7C1E" w:rsidRDefault="00CF7C1E" w14:paraId="300F20BD" w14:textId="77777777">
      <w:pPr>
        <w:suppressAutoHyphens/>
        <w:autoSpaceDN w:val="0"/>
        <w:bidi/>
        <w:spacing w:after="120" w:line="400" w:lineRule="exact"/>
        <w:ind w:left="1134"/>
        <w:jc w:val="both"/>
        <w:textDirection w:val="tbRlV"/>
        <w:textAlignment w:val="baseline"/>
        <w:rPr>
          <w:rFonts w:ascii="Traditional Arabic" w:hAnsi="Traditional Arabic"/>
          <w:b/>
          <w:bCs/>
          <w:sz w:val="32"/>
          <w:szCs w:val="32"/>
          <w:rtl/>
          <w:lang w:eastAsia="zh-TW"/>
        </w:rPr>
      </w:pPr>
      <w:r w:rsidRPr="00174AA1">
        <w:rPr>
          <w:rFonts w:ascii="Traditional Arabic" w:hAnsi="Traditional Arabic"/>
          <w:b/>
          <w:bCs/>
          <w:sz w:val="32"/>
          <w:szCs w:val="32"/>
          <w:rtl/>
          <w:lang w:eastAsia="zh-TW"/>
        </w:rPr>
        <w:t>مشروع خريطة طريق لوضع ترتيبات لتزويد مؤتمر الأطراف ببيانات رصد مقارنة، وعناصر إطار لتقييم الفعالية بموجب المادة ٢٢</w:t>
      </w:r>
      <w:r>
        <w:rPr>
          <w:rFonts w:ascii="Traditional Arabic" w:hAnsi="Traditional Arabic"/>
          <w:b/>
          <w:bCs/>
          <w:sz w:val="32"/>
          <w:szCs w:val="32"/>
          <w:rtl/>
          <w:lang w:eastAsia="zh-TW"/>
        </w:rPr>
        <w:t xml:space="preserve"> من اتفاقية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  <w:lang w:eastAsia="zh-TW"/>
        </w:rPr>
        <w:t>ميناماتا</w:t>
      </w:r>
      <w:proofErr w:type="spellEnd"/>
    </w:p>
    <w:tbl>
      <w:tblPr>
        <w:bidiVisual/>
        <w:tblW w:w="4592" w:type="pct"/>
        <w:jc w:val="right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0A0" w:firstRow="1" w:lastRow="0" w:firstColumn="1" w:lastColumn="0" w:noHBand="0" w:noVBand="0"/>
      </w:tblPr>
      <w:tblGrid>
        <w:gridCol w:w="5435"/>
        <w:gridCol w:w="3286"/>
      </w:tblGrid>
      <w:tr w:rsidRPr="00174AA1" w:rsidR="00CF7C1E" w:rsidTr="00B7028F" w14:paraId="58482F5F" w14:textId="77777777">
        <w:trPr>
          <w:trHeight w:val="212"/>
          <w:tblHeader/>
          <w:jc w:val="right"/>
        </w:trPr>
        <w:tc>
          <w:tcPr>
            <w:tcW w:w="5527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4F67AD2E" w14:textId="77777777">
            <w:pPr>
              <w:tabs>
                <w:tab w:val="left" w:pos="4082"/>
              </w:tabs>
              <w:bidi/>
              <w:jc w:val="both"/>
              <w:textDirection w:val="tbRlV"/>
              <w:rPr>
                <w:rFonts w:ascii="Traditional Arabic" w:hAnsi="Traditional Arabic" w:eastAsia="Arial Unicode MS"/>
                <w:i/>
                <w:iCs/>
                <w:color w:val="000000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i/>
                <w:iCs/>
                <w:color w:val="000000"/>
                <w:sz w:val="26"/>
                <w:szCs w:val="26"/>
                <w:u w:color="000000"/>
                <w:rtl/>
                <w:lang w:eastAsia="zh-TW"/>
              </w:rPr>
              <w:lastRenderedPageBreak/>
              <w:t>النشاط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12" w:space="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576BA93B" w14:textId="77777777">
            <w:pPr>
              <w:tabs>
                <w:tab w:val="left" w:pos="4082"/>
              </w:tabs>
              <w:bidi/>
              <w:ind w:left="345"/>
              <w:textDirection w:val="tbRlV"/>
              <w:rPr>
                <w:rFonts w:ascii="Traditional Arabic" w:hAnsi="Traditional Arabic" w:eastAsia="Arial Unicode MS"/>
                <w:i/>
                <w:iCs/>
                <w:color w:val="000000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i/>
                <w:iCs/>
                <w:color w:val="000000"/>
                <w:sz w:val="26"/>
                <w:szCs w:val="26"/>
                <w:u w:color="000000"/>
                <w:rtl/>
                <w:lang w:eastAsia="zh-TW"/>
              </w:rPr>
              <w:t>الإطار الزمني</w:t>
            </w:r>
          </w:p>
        </w:tc>
      </w:tr>
      <w:tr w:rsidRPr="00174AA1" w:rsidR="00CF7C1E" w:rsidTr="00B7028F" w14:paraId="558B4EE5" w14:textId="77777777">
        <w:trPr>
          <w:trHeight w:val="468"/>
          <w:jc w:val="right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644E41C7" w14:textId="77777777">
            <w:pPr>
              <w:tabs>
                <w:tab w:val="left" w:pos="4082"/>
              </w:tabs>
              <w:bidi/>
              <w:spacing w:line="320" w:lineRule="exact"/>
              <w:jc w:val="both"/>
              <w:textDirection w:val="tbRlV"/>
              <w:rPr>
                <w:rFonts w:ascii="Traditional Arabic" w:hAnsi="Traditional Arabic" w:eastAsia="Arial Unicode MS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تقديم ترشيحات لفريق الخبراء المخصص، إلى الأمانة عن طريق أعضاء مكتب مؤتمر الأطراف.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293E4935" w14:textId="77777777">
            <w:pPr>
              <w:tabs>
                <w:tab w:val="left" w:pos="4082"/>
              </w:tabs>
              <w:bidi/>
              <w:spacing w:line="320" w:lineRule="exact"/>
              <w:ind w:left="345"/>
              <w:textDirection w:val="tbRlV"/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١ تشرين الثاني/نوفمبر 2017</w:t>
            </w:r>
          </w:p>
        </w:tc>
      </w:tr>
      <w:tr w:rsidRPr="00174AA1" w:rsidR="00CF7C1E" w:rsidTr="00B7028F" w14:paraId="477B88D3" w14:textId="77777777">
        <w:trPr>
          <w:trHeight w:val="192"/>
          <w:jc w:val="right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5C5E7C75" w14:textId="77777777">
            <w:pPr>
              <w:tabs>
                <w:tab w:val="left" w:pos="4082"/>
              </w:tabs>
              <w:bidi/>
              <w:spacing w:line="320" w:lineRule="exact"/>
              <w:jc w:val="both"/>
              <w:textDirection w:val="tbRlV"/>
              <w:rPr>
                <w:rFonts w:ascii="Traditional Arabic" w:hAnsi="Traditional Arabic" w:eastAsia="Arial Unicode MS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 xml:space="preserve">يجتمع فريق الخبراء المخصص وجهاً لوجه، ويستفيد من المعلومات المقدمة من قبل التي جمعتها الأمانة، آخذاً في الاعتبار الأعمال </w:t>
            </w:r>
            <w:proofErr w:type="spellStart"/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المضطلع</w:t>
            </w:r>
            <w:proofErr w:type="spellEnd"/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 xml:space="preserve"> بها </w:t>
            </w:r>
            <w:r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بموجب</w:t>
            </w: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 xml:space="preserve"> الاتفاقات البيئية الأخرى المتعددة الأطراف بما فيها اتفاقية استكهولم.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2FD98978" w14:textId="77777777">
            <w:pPr>
              <w:tabs>
                <w:tab w:val="left" w:pos="4082"/>
              </w:tabs>
              <w:bidi/>
              <w:spacing w:line="320" w:lineRule="exact"/>
              <w:ind w:left="345"/>
              <w:textDirection w:val="tbRlV"/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كانون الثاني/يناير-شباط/فبراير ٢٠١٨</w:t>
            </w:r>
          </w:p>
        </w:tc>
      </w:tr>
      <w:tr w:rsidRPr="00174AA1" w:rsidR="00CF7C1E" w:rsidTr="00B7028F" w14:paraId="42AD581E" w14:textId="77777777">
        <w:trPr>
          <w:trHeight w:val="192"/>
          <w:jc w:val="right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693CE463" w14:textId="77777777">
            <w:pPr>
              <w:tabs>
                <w:tab w:val="left" w:pos="4082"/>
              </w:tabs>
              <w:bidi/>
              <w:spacing w:line="320" w:lineRule="exact"/>
              <w:jc w:val="both"/>
              <w:textDirection w:val="tbRlV"/>
              <w:rPr>
                <w:rFonts w:ascii="Traditional Arabic" w:hAnsi="Traditional Arabic" w:eastAsia="Arial Unicode MS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يعد فريق الخبراء المخصص مشروع التقرير، بما في ذلك الموجز العام، والخطة، وعناصر إطار تقييم الفعالية، وتتيح الأمانة مشروع التقرير للتعليق عليه.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60128CB8" w14:textId="77777777">
            <w:pPr>
              <w:tabs>
                <w:tab w:val="left" w:pos="4082"/>
              </w:tabs>
              <w:bidi/>
              <w:spacing w:line="320" w:lineRule="exact"/>
              <w:ind w:left="345"/>
              <w:textDirection w:val="tbRlV"/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١٥ أيار/مايو 2018</w:t>
            </w:r>
          </w:p>
        </w:tc>
      </w:tr>
      <w:tr w:rsidRPr="00174AA1" w:rsidR="00CF7C1E" w:rsidTr="00B7028F" w14:paraId="47FDE8CA" w14:textId="77777777">
        <w:trPr>
          <w:trHeight w:val="807"/>
          <w:jc w:val="right"/>
        </w:trPr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0F1A589C" w14:textId="77777777">
            <w:pPr>
              <w:tabs>
                <w:tab w:val="left" w:pos="4082"/>
              </w:tabs>
              <w:bidi/>
              <w:spacing w:line="320" w:lineRule="exact"/>
              <w:jc w:val="both"/>
              <w:textDirection w:val="tbRlV"/>
              <w:rPr>
                <w:rFonts w:ascii="Traditional Arabic" w:hAnsi="Traditional Arabic" w:eastAsia="Arial Unicode MS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ينقح فريق الخبراء المخصص التقرير ويضعه في صيغته النهائية، ويشمل ذلك الموجز العام، والخطة، وعناصر إطار تقييم الفعالية، وتحيل الأمانة التقرير إلى الاجتماع الثاني لمؤتمر الأطراف للنظر فيه.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00C606C2" w14:textId="77777777">
            <w:pPr>
              <w:tabs>
                <w:tab w:val="left" w:pos="4082"/>
              </w:tabs>
              <w:bidi/>
              <w:spacing w:line="320" w:lineRule="exact"/>
              <w:ind w:left="345"/>
              <w:textDirection w:val="tbRlV"/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٢٠ تموز/يوليه 2018</w:t>
            </w:r>
          </w:p>
        </w:tc>
      </w:tr>
      <w:tr w:rsidRPr="00174AA1" w:rsidR="00CF7C1E" w:rsidTr="00B7028F" w14:paraId="3D22BD71" w14:textId="77777777">
        <w:trPr>
          <w:trHeight w:val="807"/>
          <w:jc w:val="right"/>
        </w:trPr>
        <w:tc>
          <w:tcPr>
            <w:tcW w:w="5527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72D85C95" w14:textId="77777777">
            <w:pPr>
              <w:tabs>
                <w:tab w:val="left" w:pos="4082"/>
              </w:tabs>
              <w:bidi/>
              <w:spacing w:line="320" w:lineRule="exact"/>
              <w:jc w:val="both"/>
              <w:textDirection w:val="tbRlV"/>
              <w:rPr>
                <w:rFonts w:ascii="Traditional Arabic" w:hAnsi="Traditional Arabic" w:eastAsia="Arial Unicode MS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ينظر مؤتمر الأطراف في التقرير النهائي في اجتماعه الثاني.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74AA1" w:rsidR="00CF7C1E" w:rsidP="00B7028F" w:rsidRDefault="00CF7C1E" w14:paraId="7164A534" w14:textId="77777777">
            <w:pPr>
              <w:tabs>
                <w:tab w:val="left" w:pos="4082"/>
              </w:tabs>
              <w:bidi/>
              <w:spacing w:line="320" w:lineRule="exact"/>
              <w:ind w:left="345"/>
              <w:textDirection w:val="tbRlV"/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</w:pPr>
            <w:r w:rsidRPr="00174AA1">
              <w:rPr>
                <w:rFonts w:ascii="Traditional Arabic" w:hAnsi="Traditional Arabic" w:eastAsia="Arial Unicode MS"/>
                <w:color w:val="000000"/>
                <w:sz w:val="26"/>
                <w:szCs w:val="26"/>
                <w:u w:color="000000"/>
                <w:rtl/>
                <w:lang w:eastAsia="zh-TW"/>
              </w:rPr>
              <w:t>تشرين الثاني/نوفمبر 2018 (تاريخ مؤقت للاجتماع الثاني لمؤتمر الأطراف)</w:t>
            </w:r>
          </w:p>
        </w:tc>
      </w:tr>
    </w:tbl>
    <w:p w:rsidRPr="00D953AA" w:rsidR="00CF7C1E" w:rsidP="00CF7C1E" w:rsidRDefault="00CF7C1E" w14:paraId="78CA7422" w14:textId="77777777">
      <w:pPr>
        <w:suppressAutoHyphens/>
        <w:autoSpaceDN w:val="0"/>
        <w:bidi/>
        <w:spacing w:before="360" w:after="240" w:line="380" w:lineRule="exact"/>
        <w:ind w:left="1134"/>
        <w:textAlignment w:val="baseline"/>
        <w:rPr>
          <w:b/>
          <w:bCs/>
          <w:sz w:val="32"/>
          <w:szCs w:val="32"/>
          <w:rtl/>
          <w:lang w:eastAsia="zh-TW"/>
        </w:rPr>
      </w:pPr>
      <w:r w:rsidRPr="00D953AA">
        <w:rPr>
          <w:b/>
          <w:bCs/>
          <w:sz w:val="32"/>
          <w:szCs w:val="32"/>
          <w:rtl/>
          <w:lang w:eastAsia="zh-TW"/>
        </w:rPr>
        <w:t>المرفق الثاني للمقرر ا م-1/9</w:t>
      </w:r>
    </w:p>
    <w:p w:rsidRPr="00174AA1" w:rsidR="00CF7C1E" w:rsidP="00CF7C1E" w:rsidRDefault="00CF7C1E" w14:paraId="09D645A0" w14:textId="77777777">
      <w:pPr>
        <w:suppressAutoHyphens/>
        <w:autoSpaceDN w:val="0"/>
        <w:bidi/>
        <w:spacing w:after="240" w:line="380" w:lineRule="exact"/>
        <w:ind w:left="1132"/>
        <w:jc w:val="both"/>
        <w:textDirection w:val="tbRlV"/>
        <w:textAlignment w:val="baseline"/>
        <w:rPr>
          <w:b/>
          <w:bCs/>
          <w:sz w:val="32"/>
          <w:szCs w:val="32"/>
          <w:rtl/>
          <w:lang w:eastAsia="zh-TW"/>
        </w:rPr>
      </w:pPr>
      <w:r w:rsidRPr="00174AA1">
        <w:rPr>
          <w:b/>
          <w:bCs/>
          <w:sz w:val="32"/>
          <w:szCs w:val="32"/>
          <w:rtl/>
          <w:lang w:eastAsia="zh-TW"/>
        </w:rPr>
        <w:t>مشروع اختصاصات فريق خبراء مخصص معني بوضع ترتيبات لتزويد مؤتمر الأطراف ببيانات رصد مقارنة، وعناصر إطار لتقييم الفعالية بموجب المادة ٢٢</w:t>
      </w:r>
      <w:r>
        <w:rPr>
          <w:b/>
          <w:bCs/>
          <w:sz w:val="32"/>
          <w:szCs w:val="32"/>
          <w:rtl/>
          <w:lang w:eastAsia="zh-TW"/>
        </w:rPr>
        <w:t xml:space="preserve"> من اتفاقية </w:t>
      </w:r>
      <w:proofErr w:type="spellStart"/>
      <w:r>
        <w:rPr>
          <w:b/>
          <w:bCs/>
          <w:sz w:val="32"/>
          <w:szCs w:val="32"/>
          <w:rtl/>
          <w:lang w:eastAsia="zh-TW"/>
        </w:rPr>
        <w:t>ميناماتا</w:t>
      </w:r>
      <w:proofErr w:type="spellEnd"/>
    </w:p>
    <w:p w:rsidRPr="00174AA1" w:rsidR="00CF7C1E" w:rsidP="1B5B975E" w:rsidRDefault="00CF7C1E" w14:paraId="7C39B59B" w14:textId="77777777" w14:noSpellErr="1">
      <w:pPr>
        <w:keepNext/>
        <w:keepLines/>
        <w:suppressAutoHyphens/>
        <w:autoSpaceDN w:val="0"/>
        <w:bidi/>
        <w:spacing w:after="120" w:line="380" w:lineRule="exact"/>
        <w:ind w:left="1132" w:right="284" w:hanging="850"/>
        <w:jc w:val="both"/>
        <w:textDirection w:val="tbRlV"/>
        <w:textAlignment w:val="baseline"/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</w:pP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أولاً -</w:t>
      </w:r>
      <w:r>
        <w:tab/>
      </w: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الولاية</w:t>
      </w:r>
    </w:p>
    <w:p w:rsidRPr="00174AA1" w:rsidR="00CF7C1E" w:rsidP="00CF7C1E" w:rsidRDefault="00CF7C1E" w14:paraId="4CF8FB23" w14:textId="77777777">
      <w:pPr>
        <w:suppressAutoHyphens/>
        <w:autoSpaceDN w:val="0"/>
        <w:bidi/>
        <w:spacing w:after="120" w:line="380" w:lineRule="exact"/>
        <w:ind w:left="1132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 xml:space="preserve">ينشئ مؤتمر الأطراف </w:t>
      </w:r>
      <w:r>
        <w:rPr>
          <w:rFonts w:ascii="Traditional Arabic" w:hAnsi="Traditional Arabic"/>
          <w:sz w:val="30"/>
          <w:rtl/>
          <w:lang w:eastAsia="zh-TW"/>
        </w:rPr>
        <w:t xml:space="preserve">بمقتضى هذا </w:t>
      </w:r>
      <w:r w:rsidRPr="00174AA1">
        <w:rPr>
          <w:rFonts w:ascii="Traditional Arabic" w:hAnsi="Traditional Arabic"/>
          <w:sz w:val="30"/>
          <w:rtl/>
          <w:lang w:eastAsia="zh-TW"/>
        </w:rPr>
        <w:t>فريق خبراء مخصصاً بهدف:</w:t>
      </w:r>
    </w:p>
    <w:p w:rsidRPr="00174AA1" w:rsidR="00CF7C1E" w:rsidP="00CF7C1E" w:rsidRDefault="00CF7C1E" w14:paraId="06C74310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1132" w:firstLine="709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(أ)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وضع ترتيبات للرصد، مراعياً في ذلك تجارب الاتفاقات البيئية المتعددة الأطراف الأخرى، بما في ذلك اتفاقية استكهولم، لكي ينظر فيها مؤتمر الأطراف في اجتماعه الثاني</w:t>
      </w:r>
      <w:r>
        <w:rPr>
          <w:rFonts w:ascii="Traditional Arabic" w:hAnsi="Traditional Arabic"/>
          <w:sz w:val="30"/>
          <w:rtl/>
          <w:lang w:eastAsia="zh-TW"/>
        </w:rPr>
        <w:t>، بما في ذلك</w:t>
      </w:r>
      <w:r w:rsidRPr="00174AA1">
        <w:rPr>
          <w:rFonts w:ascii="Traditional Arabic" w:hAnsi="Traditional Arabic"/>
          <w:sz w:val="30"/>
          <w:rtl/>
          <w:lang w:eastAsia="zh-TW"/>
        </w:rPr>
        <w:t>:</w:t>
      </w:r>
    </w:p>
    <w:p w:rsidRPr="00174AA1" w:rsidR="00CF7C1E" w:rsidP="00CF7C1E" w:rsidRDefault="00CF7C1E" w14:paraId="25646C05" w14:textId="77777777">
      <w:pPr>
        <w:suppressAutoHyphens/>
        <w:autoSpaceDN w:val="0"/>
        <w:bidi/>
        <w:spacing w:after="120" w:line="380" w:lineRule="exact"/>
        <w:ind w:left="2975" w:hanging="56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’1‘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مخطط عام لأنواع البيانات التي يمكن أن تكون قابلة للمقارنة على أساس عالمي، فضلاً عن توفرها؛</w:t>
      </w:r>
    </w:p>
    <w:p w:rsidRPr="00174AA1" w:rsidR="00CF7C1E" w:rsidP="00CF7C1E" w:rsidRDefault="00CF7C1E" w14:paraId="1890BFEE" w14:textId="77777777">
      <w:pPr>
        <w:suppressAutoHyphens/>
        <w:autoSpaceDN w:val="0"/>
        <w:bidi/>
        <w:spacing w:after="120" w:line="380" w:lineRule="exact"/>
        <w:ind w:left="2975" w:hanging="56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’2‘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مشروع خطة يُدمج النتائج القابلة للمقارنة لعمليات الرصد المستقبلية التي قد تقرر البلدان وأصحاب المصلحة الاضطلاع بها؛ وكجزء من هذا العمل:</w:t>
      </w:r>
    </w:p>
    <w:p w:rsidRPr="00174AA1" w:rsidR="00CF7C1E" w:rsidP="00CF7C1E" w:rsidRDefault="00CF7C1E" w14:paraId="041FC536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3640" w:hanging="630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أ</w:t>
      </w:r>
      <w:r>
        <w:rPr>
          <w:rFonts w:ascii="Traditional Arabic" w:hAnsi="Traditional Arabic"/>
          <w:sz w:val="30"/>
          <w:rtl/>
          <w:lang w:eastAsia="zh-TW"/>
        </w:rPr>
        <w:t>-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يستعرض المعلومات عن برامج الرصد القائمة، بما في ذلك من المعلومات التي قدمتها إلى الأمانة حكومات ومنظمات حكومية دولية ومنظمات غير حكومية و</w:t>
      </w:r>
      <w:r>
        <w:rPr>
          <w:rFonts w:ascii="Traditional Arabic" w:hAnsi="Traditional Arabic"/>
          <w:sz w:val="30"/>
          <w:rtl/>
          <w:lang w:eastAsia="zh-TW"/>
        </w:rPr>
        <w:t>غيرها من 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جهات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>متاحة؛</w:t>
      </w:r>
    </w:p>
    <w:p w:rsidRPr="00174AA1" w:rsidR="00CF7C1E" w:rsidP="00CF7C1E" w:rsidRDefault="00CF7C1E" w14:paraId="51DD617D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3640" w:hanging="630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ب</w:t>
      </w:r>
      <w:r>
        <w:rPr>
          <w:rFonts w:ascii="Traditional Arabic" w:hAnsi="Traditional Arabic"/>
          <w:sz w:val="30"/>
          <w:rtl/>
          <w:lang w:eastAsia="zh-TW"/>
        </w:rPr>
        <w:t>-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يقيِّم إلى أي مدىً تلبي المعلومات المستعرضة بموجب الفقرة </w:t>
      </w:r>
      <w:r>
        <w:rPr>
          <w:rFonts w:hint="cs" w:ascii="Traditional Arabic" w:hAnsi="Traditional Arabic"/>
          <w:sz w:val="30"/>
          <w:rtl/>
          <w:lang w:eastAsia="zh-TW"/>
        </w:rPr>
        <w:t>(</w:t>
      </w:r>
      <w:r w:rsidRPr="00174AA1">
        <w:rPr>
          <w:rFonts w:ascii="Traditional Arabic" w:hAnsi="Traditional Arabic"/>
          <w:sz w:val="30"/>
          <w:rtl/>
          <w:lang w:eastAsia="zh-TW"/>
        </w:rPr>
        <w:t>أ</w:t>
      </w:r>
      <w:r>
        <w:rPr>
          <w:rFonts w:hint="cs" w:ascii="Traditional Arabic" w:hAnsi="Traditional Arabic"/>
          <w:sz w:val="30"/>
          <w:rtl/>
          <w:lang w:eastAsia="zh-TW"/>
        </w:rPr>
        <w:t>) ’</w:t>
      </w:r>
      <w:proofErr w:type="gramStart"/>
      <w:r>
        <w:rPr>
          <w:rFonts w:hint="cs" w:ascii="Traditional Arabic" w:hAnsi="Traditional Arabic"/>
          <w:sz w:val="30"/>
          <w:rtl/>
          <w:lang w:eastAsia="zh-TW"/>
        </w:rPr>
        <w:t>2‘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 </w:t>
      </w:r>
      <w:r>
        <w:rPr>
          <w:rFonts w:hint="cs" w:ascii="Traditional Arabic" w:hAnsi="Traditional Arabic"/>
          <w:sz w:val="30"/>
          <w:rtl/>
          <w:lang w:eastAsia="zh-TW"/>
        </w:rPr>
        <w:t>أ</w:t>
      </w:r>
      <w:proofErr w:type="gramEnd"/>
      <w:r>
        <w:rPr>
          <w:rFonts w:hint="cs" w:ascii="Traditional Arabic" w:hAnsi="Traditional Arabic"/>
          <w:sz w:val="30"/>
          <w:rtl/>
          <w:lang w:eastAsia="zh-TW"/>
        </w:rPr>
        <w:t>-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احتياجات الرصد المبينة في </w:t>
      </w:r>
      <w:r>
        <w:rPr>
          <w:rFonts w:ascii="Traditional Arabic" w:hAnsi="Traditional Arabic"/>
          <w:sz w:val="30"/>
          <w:rtl/>
          <w:lang w:eastAsia="zh-TW"/>
        </w:rPr>
        <w:t xml:space="preserve">الفقرة 2 من </w:t>
      </w:r>
      <w:r w:rsidRPr="00174AA1">
        <w:rPr>
          <w:rFonts w:ascii="Traditional Arabic" w:hAnsi="Traditional Arabic"/>
          <w:sz w:val="30"/>
          <w:rtl/>
          <w:lang w:eastAsia="zh-TW"/>
        </w:rPr>
        <w:t>المادة ٢٢ من الاتفاقية، وعلى هذا الأساس يحدد خيارات لتعزيز قابلية المعلومات المستعرضة للمقارنة واكتمالها؛</w:t>
      </w:r>
    </w:p>
    <w:p w:rsidRPr="00174AA1" w:rsidR="00CF7C1E" w:rsidP="00CF7C1E" w:rsidRDefault="00CF7C1E" w14:paraId="34F1CD15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3640" w:hanging="630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lastRenderedPageBreak/>
        <w:t>ج</w:t>
      </w:r>
      <w:r>
        <w:rPr>
          <w:rFonts w:ascii="Traditional Arabic" w:hAnsi="Traditional Arabic"/>
          <w:sz w:val="30"/>
          <w:rtl/>
          <w:lang w:eastAsia="zh-TW"/>
        </w:rPr>
        <w:t>-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يأخذ في الاعتبار الفعالية من حيث التكلفة والطابع العملي، والجدوى، والاستدامة، والتغطية العالمية، والقدرات الإقليمية عند تحديد الفرص المتاحة لإدخال تحسينات في المستقبل على عملية الرصد؛</w:t>
      </w:r>
    </w:p>
    <w:p w:rsidRPr="00174AA1" w:rsidR="00CF7C1E" w:rsidP="00CF7C1E" w:rsidRDefault="00CF7C1E" w14:paraId="3B555BD9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3640" w:hanging="630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د</w:t>
      </w:r>
      <w:r>
        <w:rPr>
          <w:rFonts w:ascii="Traditional Arabic" w:hAnsi="Traditional Arabic"/>
          <w:sz w:val="30"/>
          <w:rtl/>
          <w:lang w:eastAsia="zh-TW"/>
        </w:rPr>
        <w:t>-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يحدد إمكانات النمذجة المتاحة لتقييم التغيرات في مستويات الزئبق العالمية داخل الأوساط المختلفة وعبرها؛</w:t>
      </w:r>
    </w:p>
    <w:p w:rsidRPr="00174AA1" w:rsidR="00CF7C1E" w:rsidP="00CF7C1E" w:rsidRDefault="00CF7C1E" w14:paraId="54B156AB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3640" w:hanging="630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هـ</w:t>
      </w:r>
      <w:r>
        <w:rPr>
          <w:rFonts w:ascii="Traditional Arabic" w:hAnsi="Traditional Arabic"/>
          <w:sz w:val="30"/>
          <w:rtl/>
          <w:lang w:eastAsia="zh-TW"/>
        </w:rPr>
        <w:t>-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يحدد مصادر البيانات التي يمكن استخدامها لتحديد خط أساس؛</w:t>
      </w:r>
    </w:p>
    <w:p w:rsidRPr="00174AA1" w:rsidR="00CF7C1E" w:rsidP="00CF7C1E" w:rsidRDefault="00CF7C1E" w14:paraId="3256B8DC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3640" w:hanging="630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و</w:t>
      </w:r>
      <w:r>
        <w:rPr>
          <w:rFonts w:ascii="Traditional Arabic" w:hAnsi="Traditional Arabic"/>
          <w:sz w:val="30"/>
          <w:rtl/>
          <w:lang w:eastAsia="zh-TW"/>
        </w:rPr>
        <w:t>-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يحدد الكيفية التي يمكن بها لأنشطة الرصد أن تسهم في وضع إطار تقييم الفعالية؛</w:t>
      </w:r>
    </w:p>
    <w:p w:rsidRPr="00174AA1" w:rsidR="00CF7C1E" w:rsidP="00CF7C1E" w:rsidRDefault="00CF7C1E" w14:paraId="43FEA87D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1132" w:firstLine="709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(</w:t>
      </w:r>
      <w:r>
        <w:rPr>
          <w:rFonts w:ascii="Traditional Arabic" w:hAnsi="Traditional Arabic"/>
          <w:sz w:val="30"/>
          <w:rtl/>
          <w:lang w:eastAsia="zh-TW"/>
        </w:rPr>
        <w:t>ب</w:t>
      </w:r>
      <w:r w:rsidRPr="00174AA1">
        <w:rPr>
          <w:rFonts w:ascii="Traditional Arabic" w:hAnsi="Traditional Arabic"/>
          <w:sz w:val="30"/>
          <w:rtl/>
          <w:lang w:eastAsia="zh-TW"/>
        </w:rPr>
        <w:t>)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وضع عناصر لإطار لتقييم الفعالية، مع الأخذ في الاعتبار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خبرات </w:t>
      </w:r>
      <w:r>
        <w:rPr>
          <w:rFonts w:ascii="Traditional Arabic" w:hAnsi="Traditional Arabic"/>
          <w:sz w:val="30"/>
          <w:rtl/>
          <w:lang w:eastAsia="zh-TW"/>
        </w:rPr>
        <w:t xml:space="preserve">المكتسبة في إطار </w:t>
      </w:r>
      <w:r w:rsidRPr="00174AA1">
        <w:rPr>
          <w:rFonts w:ascii="Traditional Arabic" w:hAnsi="Traditional Arabic"/>
          <w:sz w:val="30"/>
          <w:rtl/>
          <w:lang w:eastAsia="zh-TW"/>
        </w:rPr>
        <w:t>الاتفاقات البيئية المتعددة الأطراف الأخرى، بما في ذلك اتفاقية استكهولم، لكي ينظر فيها مؤتمر الأطراف في اجتماعه الثاني، عن طريق جملة أمور منها ما يلي:</w:t>
      </w:r>
    </w:p>
    <w:p w:rsidRPr="00174AA1" w:rsidR="00CF7C1E" w:rsidP="00CF7C1E" w:rsidRDefault="00CF7C1E" w14:paraId="1B9291B6" w14:textId="77777777">
      <w:pPr>
        <w:suppressAutoHyphens/>
        <w:autoSpaceDN w:val="0"/>
        <w:bidi/>
        <w:spacing w:after="120" w:line="380" w:lineRule="exact"/>
        <w:ind w:left="2975" w:hanging="56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t>’1‘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تحديد الخطوات المطلوبة للاضطلاع بتقييم للفعالية</w:t>
      </w:r>
      <w:r>
        <w:rPr>
          <w:rFonts w:hint="cs" w:ascii="Traditional Arabic" w:hAnsi="Traditional Arabic"/>
          <w:sz w:val="30"/>
          <w:rtl/>
          <w:lang w:eastAsia="zh-TW"/>
        </w:rPr>
        <w:t>؛</w:t>
      </w:r>
    </w:p>
    <w:p w:rsidRPr="00174AA1" w:rsidR="00CF7C1E" w:rsidP="00CF7C1E" w:rsidRDefault="00CF7C1E" w14:paraId="60ECC5D6" w14:textId="77777777">
      <w:pPr>
        <w:suppressAutoHyphens/>
        <w:autoSpaceDN w:val="0"/>
        <w:bidi/>
        <w:spacing w:after="120" w:line="380" w:lineRule="exact"/>
        <w:ind w:left="2975" w:hanging="56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t>’2‘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اقتراح مخطط لسير العملية (جدول) بهدف التخطيط لتقييم الفعالية</w:t>
      </w:r>
      <w:r>
        <w:rPr>
          <w:rFonts w:hint="cs" w:ascii="Traditional Arabic" w:hAnsi="Traditional Arabic"/>
          <w:sz w:val="30"/>
          <w:rtl/>
          <w:lang w:eastAsia="zh-TW"/>
        </w:rPr>
        <w:t>؛</w:t>
      </w:r>
    </w:p>
    <w:p w:rsidRPr="00174AA1" w:rsidR="00CF7C1E" w:rsidP="00CF7C1E" w:rsidRDefault="00CF7C1E" w14:paraId="766E90F5" w14:textId="77777777">
      <w:pPr>
        <w:suppressAutoHyphens/>
        <w:autoSpaceDN w:val="0"/>
        <w:bidi/>
        <w:spacing w:after="120" w:line="380" w:lineRule="exact"/>
        <w:ind w:left="2975" w:hanging="56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t>’3‘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تحديد الترتيبات اللازمة لإجراء تقييم الفعالية</w:t>
      </w:r>
      <w:r>
        <w:rPr>
          <w:rFonts w:hint="cs" w:ascii="Traditional Arabic" w:hAnsi="Traditional Arabic"/>
          <w:sz w:val="30"/>
          <w:rtl/>
          <w:lang w:eastAsia="zh-TW"/>
        </w:rPr>
        <w:t>؛</w:t>
      </w:r>
    </w:p>
    <w:p w:rsidRPr="00174AA1" w:rsidR="00CF7C1E" w:rsidP="00CF7C1E" w:rsidRDefault="00CF7C1E" w14:paraId="0ABC0EA1" w14:textId="77777777">
      <w:pPr>
        <w:suppressAutoHyphens/>
        <w:autoSpaceDN w:val="0"/>
        <w:bidi/>
        <w:spacing w:after="120" w:line="380" w:lineRule="exact"/>
        <w:ind w:left="2975" w:hanging="56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t>’4‘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صياغة اختصاصات للجنة التي تضع أول تقييم للفعالية</w:t>
      </w:r>
      <w:r>
        <w:rPr>
          <w:rFonts w:hint="cs" w:ascii="Traditional Arabic" w:hAnsi="Traditional Arabic"/>
          <w:sz w:val="30"/>
          <w:rtl/>
          <w:lang w:eastAsia="zh-TW"/>
        </w:rPr>
        <w:t>؛</w:t>
      </w:r>
    </w:p>
    <w:p w:rsidRPr="00174AA1" w:rsidR="00CF7C1E" w:rsidP="00CF7C1E" w:rsidRDefault="00CF7C1E" w14:paraId="6B89E145" w14:textId="77777777">
      <w:pPr>
        <w:suppressAutoHyphens/>
        <w:autoSpaceDN w:val="0"/>
        <w:bidi/>
        <w:spacing w:after="120" w:line="380" w:lineRule="exact"/>
        <w:ind w:left="2975" w:hanging="56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>
        <w:rPr>
          <w:rFonts w:ascii="Traditional Arabic" w:hAnsi="Traditional Arabic"/>
          <w:sz w:val="30"/>
          <w:rtl/>
          <w:lang w:eastAsia="zh-TW"/>
        </w:rPr>
        <w:t>’5‘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تقييم النهج المحتملة لوضع مؤشرات الأداء</w:t>
      </w:r>
      <w:r>
        <w:rPr>
          <w:rFonts w:hint="cs" w:ascii="Traditional Arabic" w:hAnsi="Traditional Arabic"/>
          <w:sz w:val="30"/>
          <w:rtl/>
          <w:lang w:eastAsia="zh-TW"/>
        </w:rPr>
        <w:t>.</w:t>
      </w:r>
    </w:p>
    <w:p w:rsidRPr="00174AA1" w:rsidR="00CF7C1E" w:rsidP="00CF7C1E" w:rsidRDefault="00CF7C1E" w14:paraId="23940968" w14:textId="77777777">
      <w:pPr>
        <w:tabs>
          <w:tab w:val="left" w:pos="2408"/>
        </w:tabs>
        <w:suppressAutoHyphens/>
        <w:autoSpaceDN w:val="0"/>
        <w:bidi/>
        <w:spacing w:after="120" w:line="380" w:lineRule="exact"/>
        <w:ind w:left="1134" w:firstLine="70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(</w:t>
      </w:r>
      <w:r>
        <w:rPr>
          <w:rFonts w:ascii="Traditional Arabic" w:hAnsi="Traditional Arabic"/>
          <w:sz w:val="30"/>
          <w:rtl/>
          <w:lang w:eastAsia="zh-TW"/>
        </w:rPr>
        <w:t>ج</w:t>
      </w:r>
      <w:r w:rsidRPr="00174AA1">
        <w:rPr>
          <w:rFonts w:ascii="Traditional Arabic" w:hAnsi="Traditional Arabic"/>
          <w:sz w:val="30"/>
          <w:rtl/>
          <w:lang w:eastAsia="zh-TW"/>
        </w:rPr>
        <w:t>)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إعداد تقرير عن أعماله </w:t>
      </w:r>
      <w:r>
        <w:rPr>
          <w:rFonts w:ascii="Traditional Arabic" w:hAnsi="Traditional Arabic"/>
          <w:sz w:val="30"/>
          <w:rtl/>
          <w:lang w:eastAsia="zh-TW"/>
        </w:rPr>
        <w:t xml:space="preserve">لتقديمه </w:t>
      </w:r>
      <w:r w:rsidRPr="00174AA1">
        <w:rPr>
          <w:rFonts w:ascii="Traditional Arabic" w:hAnsi="Traditional Arabic"/>
          <w:sz w:val="30"/>
          <w:rtl/>
          <w:lang w:eastAsia="zh-TW"/>
        </w:rPr>
        <w:t>إلى مؤتمر الأطراف لكي ينظر فيه في اجتماعه الثاني، بما في ذلك توصيات بشأن ترتيبات الرصد وتقييم الفعالية.</w:t>
      </w:r>
    </w:p>
    <w:p w:rsidRPr="00174AA1" w:rsidR="00CF7C1E" w:rsidP="1B5B975E" w:rsidRDefault="00CF7C1E" w14:paraId="01399FA5" w14:textId="77777777" w14:noSpellErr="1">
      <w:pPr>
        <w:keepNext/>
        <w:keepLines/>
        <w:suppressAutoHyphens/>
        <w:autoSpaceDN w:val="0"/>
        <w:bidi/>
        <w:spacing w:after="120" w:line="380" w:lineRule="exact"/>
        <w:ind w:left="1134" w:hanging="852"/>
        <w:jc w:val="both"/>
        <w:textDirection w:val="tbRlV"/>
        <w:textAlignment w:val="baseline"/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</w:pP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ثانياً -</w:t>
      </w:r>
      <w:r>
        <w:tab/>
      </w: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العضوية</w:t>
      </w:r>
    </w:p>
    <w:p w:rsidRPr="00174AA1" w:rsidR="00CF7C1E" w:rsidP="00CF7C1E" w:rsidRDefault="00CF7C1E" w14:paraId="1AAE2DA6" w14:textId="77777777">
      <w:pPr>
        <w:suppressAutoHyphens/>
        <w:autoSpaceDN w:val="0"/>
        <w:bidi/>
        <w:spacing w:after="120" w:line="38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 xml:space="preserve">يتألف فريق الخبراء المخصص من ٢٥ خبيراً تحددهم الحكومات من المناطق على النحو التالي: </w:t>
      </w:r>
    </w:p>
    <w:p w:rsidRPr="00174AA1" w:rsidR="00CF7C1E" w:rsidP="00CF7C1E" w:rsidRDefault="00CF7C1E" w14:paraId="2719EF55" w14:textId="77777777">
      <w:pPr>
        <w:suppressAutoHyphens/>
        <w:autoSpaceDN w:val="0"/>
        <w:bidi/>
        <w:spacing w:after="120" w:line="38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تحدد كل منطقة ما لا يقل عن ثلاثة ممثلين من ذوي الخبرة في ترتيبات الرصد وممثل واحد على الأقل من ذوي الخبرة في تقييم الفعالية.</w:t>
      </w:r>
    </w:p>
    <w:p w:rsidRPr="00174AA1" w:rsidR="00CF7C1E" w:rsidP="00CF7C1E" w:rsidRDefault="00CF7C1E" w14:paraId="28FF4D6F" w14:textId="77777777">
      <w:pPr>
        <w:suppressAutoHyphens/>
        <w:autoSpaceDN w:val="0"/>
        <w:bidi/>
        <w:spacing w:after="80" w:line="360" w:lineRule="exact"/>
        <w:ind w:left="1701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الدول الأفريقية: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٥</w:t>
      </w:r>
    </w:p>
    <w:p w:rsidRPr="00174AA1" w:rsidR="00CF7C1E" w:rsidP="00CF7C1E" w:rsidRDefault="00CF7C1E" w14:paraId="654A6A56" w14:textId="77777777">
      <w:pPr>
        <w:suppressAutoHyphens/>
        <w:autoSpaceDN w:val="0"/>
        <w:bidi/>
        <w:spacing w:after="80" w:line="360" w:lineRule="exact"/>
        <w:ind w:left="1701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دول آسيا والمحيط الهادئ: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٥</w:t>
      </w:r>
    </w:p>
    <w:p w:rsidRPr="00174AA1" w:rsidR="00CF7C1E" w:rsidP="00CF7C1E" w:rsidRDefault="00CF7C1E" w14:paraId="72DE409D" w14:textId="77777777">
      <w:pPr>
        <w:suppressAutoHyphens/>
        <w:autoSpaceDN w:val="0"/>
        <w:bidi/>
        <w:spacing w:after="80" w:line="360" w:lineRule="exact"/>
        <w:ind w:left="1701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دول أوروبا الوسطى والشرقية</w:t>
      </w:r>
      <w:r>
        <w:rPr>
          <w:rFonts w:ascii="Traditional Arabic" w:hAnsi="Traditional Arabic"/>
          <w:sz w:val="30"/>
          <w:rtl/>
          <w:lang w:eastAsia="zh-TW"/>
        </w:rPr>
        <w:t>: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٥</w:t>
      </w:r>
    </w:p>
    <w:p w:rsidRPr="00174AA1" w:rsidR="00CF7C1E" w:rsidP="00CF7C1E" w:rsidRDefault="00CF7C1E" w14:paraId="5361C79C" w14:textId="77777777">
      <w:pPr>
        <w:suppressAutoHyphens/>
        <w:autoSpaceDN w:val="0"/>
        <w:bidi/>
        <w:spacing w:after="80" w:line="360" w:lineRule="exact"/>
        <w:ind w:left="1701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دول أمريكا اللاتينية ومنطقة البحر الكاريبي: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٥</w:t>
      </w:r>
    </w:p>
    <w:p w:rsidRPr="00174AA1" w:rsidR="00CF7C1E" w:rsidP="00CF7C1E" w:rsidRDefault="00CF7C1E" w14:paraId="6933A02F" w14:textId="77777777">
      <w:pPr>
        <w:suppressAutoHyphens/>
        <w:autoSpaceDN w:val="0"/>
        <w:bidi/>
        <w:spacing w:after="80" w:line="360" w:lineRule="exact"/>
        <w:ind w:left="1701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دول أوروبا الغربية ودول أخرى:</w:t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ab/>
      </w:r>
      <w:r w:rsidRPr="00174AA1">
        <w:rPr>
          <w:rFonts w:ascii="Traditional Arabic" w:hAnsi="Traditional Arabic"/>
          <w:sz w:val="30"/>
          <w:rtl/>
          <w:lang w:eastAsia="zh-TW"/>
        </w:rPr>
        <w:t>٥</w:t>
      </w:r>
    </w:p>
    <w:p w:rsidRPr="00174AA1" w:rsidR="00CF7C1E" w:rsidP="00CF7C1E" w:rsidRDefault="00CF7C1E" w14:paraId="7C951638" w14:textId="77777777">
      <w:pPr>
        <w:suppressAutoHyphens/>
        <w:autoSpaceDN w:val="0"/>
        <w:bidi/>
        <w:spacing w:after="120" w:line="40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 xml:space="preserve">وسيدعو الفريق إلى مشاركة ما يصل إلى ١٠ خبراء من المجتمع المدني، </w:t>
      </w:r>
      <w:r>
        <w:rPr>
          <w:rFonts w:ascii="Traditional Arabic" w:hAnsi="Traditional Arabic"/>
          <w:sz w:val="30"/>
          <w:rtl/>
          <w:lang w:eastAsia="zh-TW"/>
        </w:rPr>
        <w:t>ومجتمعات الشعوب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 الأصلية، والمنظمات الحكومية الدولية، و</w:t>
      </w:r>
      <w:r>
        <w:rPr>
          <w:rFonts w:ascii="Traditional Arabic" w:hAnsi="Traditional Arabic"/>
          <w:sz w:val="30"/>
          <w:rtl/>
          <w:lang w:eastAsia="zh-TW"/>
        </w:rPr>
        <w:t xml:space="preserve">قطاع </w:t>
      </w:r>
      <w:r w:rsidRPr="00174AA1">
        <w:rPr>
          <w:rFonts w:ascii="Traditional Arabic" w:hAnsi="Traditional Arabic"/>
          <w:sz w:val="30"/>
          <w:rtl/>
          <w:lang w:eastAsia="zh-TW"/>
        </w:rPr>
        <w:t>الصناعة، وشراكة الزئبق العالمية التابعة لبرنامج البيئة بصفة مراقبين. وستجري متوازنة مشاركة المراقبين بين المناطق المذكورة أعلاه.</w:t>
      </w:r>
    </w:p>
    <w:p w:rsidRPr="00174AA1" w:rsidR="00CF7C1E" w:rsidP="00CF7C1E" w:rsidRDefault="00CF7C1E" w14:paraId="7E8258CD" w14:textId="77777777">
      <w:pPr>
        <w:suppressAutoHyphens/>
        <w:autoSpaceDN w:val="0"/>
        <w:bidi/>
        <w:spacing w:after="120" w:line="40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 xml:space="preserve">وسيدعو الفريق إلى تقديم مساهمات من </w:t>
      </w:r>
      <w:r>
        <w:rPr>
          <w:rFonts w:ascii="Traditional Arabic" w:hAnsi="Traditional Arabic"/>
          <w:sz w:val="30"/>
          <w:rtl/>
          <w:lang w:eastAsia="zh-TW"/>
        </w:rPr>
        <w:t>جهات أخرى من ال</w:t>
      </w:r>
      <w:r w:rsidRPr="00174AA1">
        <w:rPr>
          <w:rFonts w:ascii="Traditional Arabic" w:hAnsi="Traditional Arabic"/>
          <w:sz w:val="30"/>
          <w:rtl/>
          <w:lang w:eastAsia="zh-TW"/>
        </w:rPr>
        <w:t>حكومات و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منظمات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حكومية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دولية ومجتمعات </w:t>
      </w:r>
      <w:r>
        <w:rPr>
          <w:rFonts w:ascii="Traditional Arabic" w:hAnsi="Traditional Arabic"/>
          <w:sz w:val="30"/>
          <w:rtl/>
          <w:lang w:eastAsia="zh-TW"/>
        </w:rPr>
        <w:t>الشعوب 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أصلية </w:t>
      </w:r>
      <w:r>
        <w:rPr>
          <w:rFonts w:ascii="Traditional Arabic" w:hAnsi="Traditional Arabic"/>
          <w:sz w:val="30"/>
          <w:rtl/>
          <w:lang w:eastAsia="zh-TW"/>
        </w:rPr>
        <w:t>وقطاع ال</w:t>
      </w:r>
      <w:r w:rsidRPr="00174AA1">
        <w:rPr>
          <w:rFonts w:ascii="Traditional Arabic" w:hAnsi="Traditional Arabic"/>
          <w:sz w:val="30"/>
          <w:rtl/>
          <w:lang w:eastAsia="zh-TW"/>
        </w:rPr>
        <w:t>صناع</w:t>
      </w:r>
      <w:r>
        <w:rPr>
          <w:rFonts w:ascii="Traditional Arabic" w:hAnsi="Traditional Arabic"/>
          <w:sz w:val="30"/>
          <w:rtl/>
          <w:lang w:eastAsia="zh-TW"/>
        </w:rPr>
        <w:t>ة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، ومنظمات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مجتمع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>مدني لمساعدته في إنجاز عمله.</w:t>
      </w:r>
    </w:p>
    <w:p w:rsidRPr="00174AA1" w:rsidR="00CF7C1E" w:rsidP="1B5B975E" w:rsidRDefault="00CF7C1E" w14:paraId="6995B76B" w14:textId="77777777">
      <w:pPr>
        <w:keepNext/>
        <w:keepLines/>
        <w:suppressAutoHyphens/>
        <w:autoSpaceDN w:val="0"/>
        <w:bidi/>
        <w:spacing w:after="120" w:line="400" w:lineRule="exact"/>
        <w:ind w:left="1134" w:hanging="852"/>
        <w:jc w:val="both"/>
        <w:textDirection w:val="tbRlV"/>
        <w:textAlignment w:val="baseline"/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</w:pP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ثالثاً -</w:t>
      </w:r>
      <w:r>
        <w:tab/>
      </w: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 xml:space="preserve">المؤهلات </w:t>
      </w:r>
      <w:proofErr w:type="spellStart"/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الموصى</w:t>
      </w:r>
      <w:proofErr w:type="spellEnd"/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 xml:space="preserve"> بها</w:t>
      </w:r>
    </w:p>
    <w:p w:rsidRPr="00174AA1" w:rsidR="00CF7C1E" w:rsidP="00CF7C1E" w:rsidRDefault="00CF7C1E" w14:paraId="2FAA62F5" w14:textId="77777777">
      <w:pPr>
        <w:suppressAutoHyphens/>
        <w:autoSpaceDN w:val="0"/>
        <w:bidi/>
        <w:spacing w:after="120" w:line="40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ينبغي أن تكون لدى الأعضاء والمراقبين في فريق الخبراء المخصص:</w:t>
      </w:r>
    </w:p>
    <w:p w:rsidRPr="00174AA1" w:rsidR="00CF7C1E" w:rsidP="00CF7C1E" w:rsidRDefault="00CF7C1E" w14:paraId="36A317BD" w14:textId="77777777">
      <w:pPr>
        <w:tabs>
          <w:tab w:val="left" w:pos="2408"/>
        </w:tabs>
        <w:suppressAutoHyphens/>
        <w:autoSpaceDN w:val="0"/>
        <w:bidi/>
        <w:spacing w:after="120" w:line="400" w:lineRule="exact"/>
        <w:ind w:left="1134" w:firstLine="70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en-GB"/>
        </w:rPr>
        <w:t>(أ)</w:t>
      </w:r>
      <w:r w:rsidRPr="00174AA1">
        <w:rPr>
          <w:rFonts w:ascii="Traditional Arabic" w:hAnsi="Traditional Arabic"/>
          <w:sz w:val="30"/>
          <w:rtl/>
          <w:lang w:eastAsia="en-GB"/>
        </w:rPr>
        <w:tab/>
      </w:r>
      <w:r>
        <w:rPr>
          <w:rFonts w:ascii="Traditional Arabic" w:hAnsi="Traditional Arabic"/>
          <w:sz w:val="30"/>
          <w:rtl/>
          <w:lang w:eastAsia="en-GB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خبرة ذات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>صلة بتطوير نظام للرصد بهدف جمع وتحليل بيانات عينات الزئبق لأغراض تقييم الاتجاهات، بما في ذلك الخبرة في وضع النماذج و/أو أخذ العينات الأحيائية ومن الكائنات المائية وعينات من الغلاف الجوي و/أو التعرض البشري و/أو المعارف التقليدية الأصلية؛</w:t>
      </w:r>
    </w:p>
    <w:p w:rsidRPr="00174AA1" w:rsidR="00CF7C1E" w:rsidP="00CF7C1E" w:rsidRDefault="00CF7C1E" w14:paraId="29D2731F" w14:textId="77777777">
      <w:pPr>
        <w:tabs>
          <w:tab w:val="left" w:pos="2408"/>
        </w:tabs>
        <w:suppressAutoHyphens/>
        <w:autoSpaceDN w:val="0"/>
        <w:bidi/>
        <w:spacing w:after="120" w:line="400" w:lineRule="exact"/>
        <w:ind w:left="1134" w:firstLine="70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en-GB"/>
        </w:rPr>
        <w:t>(ب)</w:t>
      </w:r>
      <w:r w:rsidRPr="00174AA1">
        <w:rPr>
          <w:rFonts w:ascii="Traditional Arabic" w:hAnsi="Traditional Arabic"/>
          <w:sz w:val="30"/>
          <w:rtl/>
          <w:lang w:eastAsia="en-GB"/>
        </w:rPr>
        <w:tab/>
      </w:r>
      <w:r>
        <w:rPr>
          <w:rFonts w:ascii="Traditional Arabic" w:hAnsi="Traditional Arabic"/>
          <w:sz w:val="30"/>
          <w:rtl/>
          <w:lang w:eastAsia="en-GB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خبرة ذات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>صلة بتطوير وتنفيذ عمليات الرصد في إطار الاتفاقات البيئية المتعددة الأطراف، مثل خطة الرصد العالمية في إطار اتفاقية استكهولم؛ أو</w:t>
      </w:r>
    </w:p>
    <w:p w:rsidRPr="00174AA1" w:rsidR="00CF7C1E" w:rsidP="00CF7C1E" w:rsidRDefault="00CF7C1E" w14:paraId="09972E5A" w14:textId="77777777">
      <w:pPr>
        <w:tabs>
          <w:tab w:val="left" w:pos="2408"/>
        </w:tabs>
        <w:suppressAutoHyphens/>
        <w:autoSpaceDN w:val="0"/>
        <w:bidi/>
        <w:spacing w:after="120" w:line="400" w:lineRule="exact"/>
        <w:ind w:left="1134" w:firstLine="707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en-GB"/>
        </w:rPr>
        <w:t>(ج)</w:t>
      </w:r>
      <w:r w:rsidRPr="00174AA1">
        <w:rPr>
          <w:rFonts w:ascii="Traditional Arabic" w:hAnsi="Traditional Arabic"/>
          <w:sz w:val="30"/>
          <w:rtl/>
          <w:lang w:eastAsia="en-GB"/>
        </w:rPr>
        <w:tab/>
      </w:r>
      <w:r>
        <w:rPr>
          <w:rFonts w:ascii="Traditional Arabic" w:hAnsi="Traditional Arabic"/>
          <w:sz w:val="30"/>
          <w:rtl/>
          <w:lang w:eastAsia="en-GB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خبرة ذات </w:t>
      </w:r>
      <w:r>
        <w:rPr>
          <w:rFonts w:ascii="Traditional Arabic" w:hAnsi="Traditional Arabic"/>
          <w:sz w:val="30"/>
          <w:rtl/>
          <w:lang w:eastAsia="zh-TW"/>
        </w:rPr>
        <w:t>ال</w:t>
      </w:r>
      <w:r w:rsidRPr="00174AA1">
        <w:rPr>
          <w:rFonts w:ascii="Traditional Arabic" w:hAnsi="Traditional Arabic"/>
          <w:sz w:val="30"/>
          <w:rtl/>
          <w:lang w:eastAsia="zh-TW"/>
        </w:rPr>
        <w:t>صلة بتقييم الفعالية.</w:t>
      </w:r>
    </w:p>
    <w:p w:rsidRPr="00174AA1" w:rsidR="00CF7C1E" w:rsidP="1B5B975E" w:rsidRDefault="00CF7C1E" w14:paraId="07D9EE1E" w14:textId="77777777" w14:noSpellErr="1">
      <w:pPr>
        <w:keepNext/>
        <w:keepLines/>
        <w:suppressAutoHyphens/>
        <w:autoSpaceDN w:val="0"/>
        <w:bidi/>
        <w:spacing w:after="120" w:line="400" w:lineRule="exact"/>
        <w:ind w:left="1134" w:hanging="852"/>
        <w:jc w:val="both"/>
        <w:textDirection w:val="tbRlV"/>
        <w:textAlignment w:val="baseline"/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</w:pP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رابعاً -</w:t>
      </w:r>
      <w:r>
        <w:tab/>
      </w: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الموظفون</w:t>
      </w:r>
    </w:p>
    <w:p w:rsidRPr="00174AA1" w:rsidR="00CF7C1E" w:rsidP="00CF7C1E" w:rsidRDefault="00CF7C1E" w14:paraId="4E90A9F2" w14:textId="77777777">
      <w:pPr>
        <w:suppressAutoHyphens/>
        <w:autoSpaceDN w:val="0"/>
        <w:bidi/>
        <w:spacing w:after="120" w:line="40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يختار فريق الخبراء المخصص رئيسين مشاركين لتيسير الاجتماع.</w:t>
      </w:r>
    </w:p>
    <w:p w:rsidRPr="00174AA1" w:rsidR="00CF7C1E" w:rsidP="1B5B975E" w:rsidRDefault="00CF7C1E" w14:paraId="1ED499D5" w14:textId="77777777" w14:noSpellErr="1">
      <w:pPr>
        <w:keepNext/>
        <w:keepLines/>
        <w:suppressAutoHyphens/>
        <w:autoSpaceDN w:val="0"/>
        <w:bidi/>
        <w:spacing w:after="120" w:line="400" w:lineRule="exact"/>
        <w:ind w:left="1134" w:hanging="994"/>
        <w:jc w:val="both"/>
        <w:textDirection w:val="tbRlV"/>
        <w:textAlignment w:val="baseline"/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</w:pP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خامساً -</w:t>
      </w:r>
      <w:r>
        <w:tab/>
      </w: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الأمانة</w:t>
      </w:r>
    </w:p>
    <w:p w:rsidRPr="00174AA1" w:rsidR="00CF7C1E" w:rsidP="00CF7C1E" w:rsidRDefault="00CF7C1E" w14:paraId="5D1E4FF4" w14:textId="77777777">
      <w:pPr>
        <w:suppressAutoHyphens/>
        <w:autoSpaceDN w:val="0"/>
        <w:bidi/>
        <w:spacing w:after="120" w:line="40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تقدم الأمانة الدعم الإداري لفريق الخبراء المخصص.</w:t>
      </w:r>
    </w:p>
    <w:p w:rsidRPr="00174AA1" w:rsidR="00CF7C1E" w:rsidP="1B5B975E" w:rsidRDefault="00CF7C1E" w14:paraId="6EEE19BB" w14:textId="77777777" w14:noSpellErr="1">
      <w:pPr>
        <w:keepNext/>
        <w:keepLines/>
        <w:suppressAutoHyphens/>
        <w:autoSpaceDN w:val="0"/>
        <w:bidi/>
        <w:spacing w:after="120" w:line="400" w:lineRule="exact"/>
        <w:ind w:left="1134" w:hanging="852"/>
        <w:jc w:val="both"/>
        <w:textDirection w:val="tbRlV"/>
        <w:textAlignment w:val="baseline"/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</w:pP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سادساً -</w:t>
      </w:r>
      <w:r>
        <w:tab/>
      </w: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المسائل الإدارية والإجرائية</w:t>
      </w:r>
    </w:p>
    <w:p w:rsidRPr="00174AA1" w:rsidR="00CF7C1E" w:rsidP="00CF7C1E" w:rsidRDefault="00CF7C1E" w14:paraId="3F5E0FD2" w14:textId="77777777">
      <w:pPr>
        <w:suppressAutoHyphens/>
        <w:autoSpaceDN w:val="0"/>
        <w:bidi/>
        <w:spacing w:after="120" w:line="40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ينطبق النظام الداخلي لمؤتمر الأطراف، مع تعديل ما يلزم تعديله، على فريق الخبراء المخصص.</w:t>
      </w:r>
    </w:p>
    <w:p w:rsidRPr="00174AA1" w:rsidR="00CF7C1E" w:rsidP="1B5B975E" w:rsidRDefault="00CF7C1E" w14:paraId="1691D2EB" w14:textId="77777777" w14:noSpellErr="1">
      <w:pPr>
        <w:keepNext/>
        <w:keepLines/>
        <w:suppressAutoHyphens/>
        <w:autoSpaceDN w:val="0"/>
        <w:bidi/>
        <w:spacing w:after="120" w:line="400" w:lineRule="exact"/>
        <w:ind w:left="1134" w:hanging="852"/>
        <w:jc w:val="both"/>
        <w:textDirection w:val="tbRlV"/>
        <w:textAlignment w:val="baseline"/>
        <w:rPr>
          <w:rFonts w:ascii="Traditional Arabic" w:hAnsi="Traditional Arabic"/>
          <w:sz w:val="32"/>
          <w:szCs w:val="32"/>
          <w:rtl w:val="1"/>
          <w:lang w:eastAsia="zh-TW"/>
        </w:rPr>
      </w:pP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سابعاً -</w:t>
      </w:r>
      <w:r>
        <w:tab/>
      </w: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الاجتماعات</w:t>
      </w:r>
    </w:p>
    <w:p w:rsidRPr="00174AA1" w:rsidR="00CF7C1E" w:rsidP="00CF7C1E" w:rsidRDefault="00CF7C1E" w14:paraId="73553CDD" w14:textId="77777777">
      <w:pPr>
        <w:suppressAutoHyphens/>
        <w:autoSpaceDN w:val="0"/>
        <w:bidi/>
        <w:spacing w:after="120" w:line="400" w:lineRule="exact"/>
        <w:ind w:left="1134"/>
        <w:jc w:val="both"/>
        <w:textDirection w:val="tbRlV"/>
        <w:textAlignment w:val="baseline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يجتمع فريق الخبراء المخصص وجهاً لوجه مرة واحدة، و</w:t>
      </w:r>
      <w:r>
        <w:rPr>
          <w:rFonts w:ascii="Traditional Arabic" w:hAnsi="Traditional Arabic"/>
          <w:sz w:val="30"/>
          <w:rtl/>
          <w:lang w:eastAsia="zh-TW"/>
        </w:rPr>
        <w:t>س</w:t>
      </w:r>
      <w:r w:rsidRPr="00174AA1">
        <w:rPr>
          <w:rFonts w:ascii="Traditional Arabic" w:hAnsi="Traditional Arabic"/>
          <w:sz w:val="30"/>
          <w:rtl/>
          <w:lang w:eastAsia="zh-TW"/>
        </w:rPr>
        <w:t xml:space="preserve">يجتمع مرات أخرى عن طريق التداول عن بعد أو الحلقات الدراسية الشبكية قبل </w:t>
      </w:r>
      <w:r>
        <w:rPr>
          <w:rFonts w:ascii="Traditional Arabic" w:hAnsi="Traditional Arabic"/>
          <w:sz w:val="30"/>
          <w:rtl/>
          <w:lang w:eastAsia="zh-TW"/>
        </w:rPr>
        <w:t xml:space="preserve">انعقاد </w:t>
      </w:r>
      <w:r w:rsidRPr="00174AA1">
        <w:rPr>
          <w:rFonts w:ascii="Traditional Arabic" w:hAnsi="Traditional Arabic"/>
          <w:sz w:val="30"/>
          <w:rtl/>
          <w:lang w:eastAsia="zh-TW"/>
        </w:rPr>
        <w:t>الاجتماع الثاني لمؤتمر الأطراف.</w:t>
      </w:r>
    </w:p>
    <w:p w:rsidRPr="00174AA1" w:rsidR="00CF7C1E" w:rsidP="1B5B975E" w:rsidRDefault="00CF7C1E" w14:paraId="280CCCAB" w14:textId="77777777" w14:noSpellErr="1">
      <w:pPr>
        <w:keepNext/>
        <w:keepLines/>
        <w:suppressAutoHyphens/>
        <w:autoSpaceDN w:val="0"/>
        <w:bidi/>
        <w:spacing w:after="120" w:line="400" w:lineRule="exact"/>
        <w:ind w:left="1134" w:hanging="852"/>
        <w:jc w:val="both"/>
        <w:textDirection w:val="tbRlV"/>
        <w:textAlignment w:val="baseline"/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</w:pP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ثامناً -</w:t>
      </w:r>
      <w:r>
        <w:tab/>
      </w:r>
      <w:r w:rsidRPr="1B5B975E" w:rsidR="00CF7C1E">
        <w:rPr>
          <w:rFonts w:ascii="Traditional Arabic" w:hAnsi="Traditional Arabic"/>
          <w:b w:val="1"/>
          <w:bCs w:val="1"/>
          <w:sz w:val="32"/>
          <w:szCs w:val="32"/>
          <w:rtl w:val="1"/>
          <w:lang w:eastAsia="zh-TW"/>
        </w:rPr>
        <w:t>اللغة</w:t>
      </w:r>
    </w:p>
    <w:p w:rsidRPr="00174AA1" w:rsidR="00CF7C1E" w:rsidP="00CF7C1E" w:rsidRDefault="00CF7C1E" w14:paraId="0E1482A2" w14:textId="77777777">
      <w:pPr>
        <w:tabs>
          <w:tab w:val="left" w:pos="1983"/>
        </w:tabs>
        <w:bidi/>
        <w:spacing w:after="120" w:line="400" w:lineRule="exact"/>
        <w:ind w:left="1134"/>
        <w:jc w:val="both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174AA1">
        <w:rPr>
          <w:rFonts w:ascii="Traditional Arabic" w:hAnsi="Traditional Arabic"/>
          <w:sz w:val="30"/>
          <w:rtl/>
          <w:lang w:eastAsia="zh-TW"/>
        </w:rPr>
        <w:t>تكون اللغة الإنكليزية هي لغة عمل فريق الخبراء المخصص. ويُترجم تقرير فريق الخبراء المخصص، المقدم إلى مؤتمر الأطراف، إلى اللغات العربية والصينية والفرنسية والروسية والإسبانية.</w:t>
      </w:r>
    </w:p>
    <w:p w:rsidRPr="003F219E" w:rsidR="00CF7C1E" w:rsidP="00CF7C1E" w:rsidRDefault="00CF7C1E" w14:paraId="43E43168" w14:textId="77777777">
      <w:pPr>
        <w:bidi/>
        <w:rPr>
          <w:b/>
          <w:sz w:val="24"/>
        </w:rPr>
      </w:pPr>
    </w:p>
    <w:p w:rsidRPr="00CF7C1E" w:rsidR="00EA1C1B" w:rsidP="00CF7C1E" w:rsidRDefault="00EA1C1B" w14:paraId="38D7D60D" w14:textId="59C5C5D7">
      <w:pPr>
        <w:rPr>
          <w:b/>
          <w:bCs/>
          <w:sz w:val="34"/>
          <w:szCs w:val="34"/>
          <w:rtl/>
        </w:rPr>
      </w:pPr>
    </w:p>
    <w:sectPr w:rsidRPr="00CF7C1E" w:rsidR="00EA1C1B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orient="portrait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17A" w:rsidRDefault="00E2617A" w14:paraId="0B2C7A5F" w14:textId="77777777">
      <w:r>
        <w:separator/>
      </w:r>
    </w:p>
  </w:endnote>
  <w:endnote w:type="continuationSeparator" w:id="0">
    <w:p w:rsidR="00E2617A" w:rsidRDefault="00E2617A" w14:paraId="169CDB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173A" w:rsidR="003750B6" w:rsidP="00E0494C" w:rsidRDefault="003750B6" w14:paraId="43364539" w14:textId="77777777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B173A" w:rsidR="003750B6" w:rsidP="00E0494C" w:rsidRDefault="003750B6" w14:paraId="713AE2CB" w14:textId="77777777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17A" w:rsidP="008A79DC" w:rsidRDefault="00E2617A" w14:paraId="4BBBDD7A" w14:textId="77777777">
      <w:pPr>
        <w:bidi/>
        <w:ind w:left="720"/>
      </w:pPr>
      <w:r>
        <w:separator/>
      </w:r>
    </w:p>
  </w:footnote>
  <w:footnote w:type="continuationSeparator" w:id="0">
    <w:p w:rsidR="00E2617A" w:rsidRDefault="00E2617A" w14:paraId="212BC9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4EBB" w:rsidR="003750B6" w:rsidP="00D113A9" w:rsidRDefault="003750B6" w14:paraId="2C5A5226" w14:textId="259DE647">
    <w:pPr>
      <w:pBdr>
        <w:bottom w:val="single" w:color="auto" w:sz="4" w:space="0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CF7C1E">
      <w:rPr>
        <w:rFonts w:cs="Times New Roman"/>
        <w:b/>
        <w:bCs/>
        <w:sz w:val="17"/>
        <w:szCs w:val="17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C3A5F" w:rsidR="003750B6" w:rsidP="00D113A9" w:rsidRDefault="003750B6" w14:paraId="5DB9B1FD" w14:textId="20B908EE">
    <w:pPr>
      <w:pBdr>
        <w:bottom w:val="single" w:color="auto" w:sz="4" w:space="0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CF7C1E">
      <w:rPr>
        <w:rFonts w:cs="Times New Roman"/>
        <w:b/>
        <w:bCs/>
        <w:sz w:val="17"/>
        <w:szCs w:val="17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hint="eastAsia" w:cs="Times New Roman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eastAsia" w:cs="Times New Roman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eastAsia" w:cs="Times New Roman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eastAsia" w:cs="Times New Roman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eastAsia" w:cs="Times New Roman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eastAsia" w:cs="Times New Roman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eastAsia" w:cs="Times New Roman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eastAsia" w:cs="Times New Roman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eastAsia" w:cs="Times New Roman"/>
      </w:rPr>
    </w:lvl>
  </w:abstractNum>
  <w:abstractNum w:abstractNumId="1" w15:restartNumberingAfterBreak="0">
    <w:nsid w:val="00685122"/>
    <w:multiLevelType w:val="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hint="cs" w:cs="Traditional Arabic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hybrid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hybrid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hint="default" w:ascii="Traditional Arabic" w:hAnsi="Traditional Arabic" w:cs="Traditional Arabic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hint="default" w:ascii="Wingdings" w:hAnsi="Wingdings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hint="default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hint="default" w:ascii="Wingdings" w:hAnsi="Wingdings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hybrid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hint="default" w:ascii="Wingdings" w:hAnsi="Wingdings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hint="default" w:ascii="Wingdings" w:hAnsi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hint="default" w:ascii="Traditional Arabic" w:hAnsi="Traditional Arabic" w:cs="Traditional Arabic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hint="default" w:ascii="Wingdings" w:hAnsi="Wingdings" w:eastAsia="Times New Roman" w:cs="Traditional Arabic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hint="eastAsia" w:cs="Times New Roman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eastAsia" w:cs="Times New Roman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eastAsia" w:cs="Times New Roman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eastAsia"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eastAsia"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eastAsia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eastAsia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eastAsia"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eastAsia" w:cs="Times New Roman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hint="default" w:ascii="Traditional Arabic" w:hAnsi="Traditional Arabic" w:cs="Traditional Arabic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563C8ECC">
        <w:start w:val="1"/>
        <w:numFmt w:val="decimal"/>
        <w:lvlText w:val="%1-"/>
        <w:lvlJc w:val="left"/>
        <w:pPr>
          <w:ind w:left="1247" w:firstLine="0"/>
        </w:pPr>
        <w:rPr>
          <w:rFonts w:hint="default" w:cs="Traditional Arabic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A1E40E8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B34AA2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3F6C44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006365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3E7E5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7825E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0E2327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EC0D97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563C8ECC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E40E8A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34AA2C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6C440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063658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3E7E5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825EA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E23270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C0D97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563C8ECC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E40E8A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34AA2C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6C440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063658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3E7E5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825EA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E23270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C0D97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hint="default" w:cs="Traditional Arabic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71F69"/>
    <w:rsid w:val="00072F5D"/>
    <w:rsid w:val="0008088A"/>
    <w:rsid w:val="000844F9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1C12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9245F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11F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BD3"/>
    <w:rsid w:val="00390CD8"/>
    <w:rsid w:val="003923ED"/>
    <w:rsid w:val="00397363"/>
    <w:rsid w:val="003A515B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2F44"/>
    <w:rsid w:val="006569A0"/>
    <w:rsid w:val="00665785"/>
    <w:rsid w:val="00671875"/>
    <w:rsid w:val="006812C4"/>
    <w:rsid w:val="00683FE0"/>
    <w:rsid w:val="00684004"/>
    <w:rsid w:val="00684243"/>
    <w:rsid w:val="00687D8B"/>
    <w:rsid w:val="00696059"/>
    <w:rsid w:val="006A7E4F"/>
    <w:rsid w:val="006B05FA"/>
    <w:rsid w:val="006B0935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802B63"/>
    <w:rsid w:val="00802F6D"/>
    <w:rsid w:val="00805014"/>
    <w:rsid w:val="00810ABD"/>
    <w:rsid w:val="00811602"/>
    <w:rsid w:val="00822614"/>
    <w:rsid w:val="008321C1"/>
    <w:rsid w:val="008323B3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879BE"/>
    <w:rsid w:val="0099049A"/>
    <w:rsid w:val="009A052E"/>
    <w:rsid w:val="009A0564"/>
    <w:rsid w:val="009A11E7"/>
    <w:rsid w:val="009A1FDF"/>
    <w:rsid w:val="009A6C71"/>
    <w:rsid w:val="009B2A75"/>
    <w:rsid w:val="009B4D56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7F0F"/>
    <w:rsid w:val="00A108BD"/>
    <w:rsid w:val="00A178E1"/>
    <w:rsid w:val="00A23B72"/>
    <w:rsid w:val="00A26E11"/>
    <w:rsid w:val="00A3462E"/>
    <w:rsid w:val="00A34C1A"/>
    <w:rsid w:val="00A45C22"/>
    <w:rsid w:val="00A579D1"/>
    <w:rsid w:val="00A57F44"/>
    <w:rsid w:val="00A67825"/>
    <w:rsid w:val="00A72157"/>
    <w:rsid w:val="00A76B59"/>
    <w:rsid w:val="00A969A0"/>
    <w:rsid w:val="00AA32A0"/>
    <w:rsid w:val="00AB1E5D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05DE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13958"/>
    <w:rsid w:val="00C2111C"/>
    <w:rsid w:val="00C25681"/>
    <w:rsid w:val="00C33F5C"/>
    <w:rsid w:val="00C34FDE"/>
    <w:rsid w:val="00C36378"/>
    <w:rsid w:val="00C37B3A"/>
    <w:rsid w:val="00C47E78"/>
    <w:rsid w:val="00C56205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CF7C1E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515A"/>
    <w:rsid w:val="00E15ABC"/>
    <w:rsid w:val="00E176E7"/>
    <w:rsid w:val="00E2617A"/>
    <w:rsid w:val="00E323C0"/>
    <w:rsid w:val="00E369DB"/>
    <w:rsid w:val="00E36EB2"/>
    <w:rsid w:val="00E51BAF"/>
    <w:rsid w:val="00E63CFD"/>
    <w:rsid w:val="00E642AB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1E40"/>
    <w:rsid w:val="00ED61FB"/>
    <w:rsid w:val="00ED77A3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93241"/>
    <w:rsid w:val="00F95865"/>
    <w:rsid w:val="00FB59A6"/>
    <w:rsid w:val="00FC5790"/>
    <w:rsid w:val="00FD576F"/>
    <w:rsid w:val="00FD7BCB"/>
    <w:rsid w:val="00FD7F76"/>
    <w:rsid w:val="00FE0F78"/>
    <w:rsid w:val="00FE21C0"/>
    <w:rsid w:val="00FE2BAC"/>
    <w:rsid w:val="11E17FC9"/>
    <w:rsid w:val="1B5B975E"/>
    <w:rsid w:val="6838B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styleId="Level1" w:customStyle="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styleId="font6" w:customStyle="1">
    <w:name w:val="font6"/>
    <w:basedOn w:val="Normal"/>
    <w:pPr>
      <w:spacing w:before="100" w:beforeAutospacing="1" w:after="100" w:afterAutospacing="1"/>
    </w:pPr>
    <w:rPr>
      <w:rFonts w:ascii="Arial" w:hAnsi="Arial" w:eastAsia="Arial Unicode MS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styleId="SingleTxt" w:customStyle="1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styleId="Normal-pool" w:customStyle="1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styleId="Normal-poolChar" w:customStyle="1">
    <w:name w:val="Normal-pool Char"/>
    <w:link w:val="Normal-pool"/>
    <w:rsid w:val="00317E61"/>
    <w:rPr>
      <w:lang w:val="en-GB" w:eastAsia="en-US" w:bidi="ar-SA"/>
    </w:rPr>
  </w:style>
  <w:style w:type="paragraph" w:styleId="ListParagraph1" w:customStyle="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hAnsi="Cambria" w:eastAsia="MS Mincho" w:cs="Times New Roman"/>
      <w:sz w:val="24"/>
      <w:szCs w:val="20"/>
      <w:lang w:val="de-DE"/>
    </w:rPr>
  </w:style>
  <w:style w:type="paragraph" w:styleId="ZZAnxheader" w:customStyle="1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styleId="FootnoteTextChar" w:customStyle="1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styleId="BodyText3Char" w:customStyle="1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styleId="BodyTextIndentChar" w:customStyle="1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styleId="EndnoteTextChar" w:customStyle="1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styleId="TitleChar" w:customStyle="1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styleId="SubtitleChar" w:customStyle="1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styleId="BodyTextIndent2Char" w:customStyle="1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styleId="BodyTextIndent3Char" w:customStyle="1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styleId="Normal-num" w:customStyle="1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styleId="DeltaViewInsertion" w:customStyle="1">
    <w:name w:val="DeltaView Insertion"/>
    <w:uiPriority w:val="99"/>
    <w:rsid w:val="00E176E7"/>
    <w:rPr>
      <w:color w:val="0000FF"/>
      <w:u w:val="double"/>
    </w:rPr>
  </w:style>
  <w:style w:type="paragraph" w:styleId="Normalnumber" w:customStyle="1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cs="Times New Roman" w:eastAsiaTheme="minorEastAsia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styleId="Normalpool" w:customStyle="1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cs="Times New Roman" w:eastAsiaTheme="minorHAnsi"/>
      <w:sz w:val="22"/>
      <w:szCs w:val="22"/>
      <w:lang w:val="en-GB"/>
    </w:rPr>
  </w:style>
  <w:style w:type="character" w:styleId="NormalnumberChar" w:customStyle="1">
    <w:name w:val="Normal_number Char"/>
    <w:link w:val="Normalnumber"/>
    <w:locked/>
    <w:rsid w:val="00D113A9"/>
    <w:rPr>
      <w:rFonts w:cs="Times New Roman" w:eastAsiaTheme="minorEastAsia"/>
      <w:szCs w:val="24"/>
    </w:rPr>
  </w:style>
  <w:style w:type="numbering" w:styleId="Normallist" w:customStyle="1">
    <w:name w:val="Normal_list"/>
    <w:rsid w:val="00D113A9"/>
    <w:pPr>
      <w:numPr>
        <w:numId w:val="2"/>
      </w:numPr>
    </w:pPr>
  </w:style>
  <w:style w:type="character" w:styleId="NormalpoolChar" w:customStyle="1">
    <w:name w:val="Normal_pool Char"/>
    <w:link w:val="Normalpool"/>
    <w:locked/>
    <w:rsid w:val="00D113A9"/>
    <w:rPr>
      <w:rFonts w:cs="Times New Roman" w:eastAsiaTheme="minorHAnsi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har1CharCharCharCharCharChar" w:customStyle="1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styleId="hps" w:customStyle="1">
    <w:name w:val="hps"/>
    <w:rsid w:val="00C2111C"/>
  </w:style>
  <w:style w:type="paragraph" w:styleId="CH2" w:customStyle="1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hAnsiTheme="minorHAnsi" w:eastAsiaTheme="minorHAnsi"/>
      <w:b/>
      <w:sz w:val="24"/>
      <w:szCs w:val="24"/>
      <w:lang w:val="en-GB"/>
    </w:rPr>
  </w:style>
  <w:style w:type="paragraph" w:styleId="CH1" w:customStyle="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hAnsiTheme="minorHAnsi" w:eastAsiaTheme="minorHAnsi"/>
      <w:b/>
      <w:sz w:val="28"/>
      <w:szCs w:val="28"/>
      <w:lang w:val="en-GB"/>
    </w:rPr>
  </w:style>
  <w:style w:type="character" w:styleId="CH2Char" w:customStyle="1">
    <w:name w:val="CH2 Char"/>
    <w:link w:val="CH2"/>
    <w:locked/>
    <w:rsid w:val="00AC4CA6"/>
    <w:rPr>
      <w:rFonts w:hAnsiTheme="minorHAnsi" w:eastAsiaTheme="minorHAnsi"/>
      <w:b/>
      <w:sz w:val="24"/>
      <w:szCs w:val="24"/>
      <w:lang w:val="en-GB"/>
    </w:rPr>
  </w:style>
  <w:style w:type="paragraph" w:styleId="BBTitle" w:customStyle="1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hAnsiTheme="minorHAnsi" w:eastAsiaTheme="minorHAnsi"/>
      <w:b/>
      <w:sz w:val="28"/>
      <w:szCs w:val="28"/>
      <w:lang w:val="en-GB"/>
    </w:rPr>
  </w:style>
  <w:style w:type="paragraph" w:styleId="AATitle" w:customStyle="1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hint="cs" w:hAnsiTheme="minorHAnsi" w:eastAsiaTheme="minorHAnsi"/>
      <w:b/>
      <w:lang w:val="en-GB"/>
    </w:rPr>
  </w:style>
  <w:style w:type="paragraph" w:styleId="CH3" w:customStyle="1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hAnsiTheme="minorHAnsi" w:eastAsiaTheme="minorHAnsi"/>
      <w:b/>
      <w:lang w:val="en-GB"/>
    </w:rPr>
  </w:style>
  <w:style w:type="paragraph" w:styleId="ZZAnxtitle" w:customStyle="1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hAnsiTheme="minorHAnsi" w:eastAsiaTheme="minorHAnsi"/>
      <w:b/>
      <w:bCs/>
      <w:sz w:val="28"/>
      <w:szCs w:val="26"/>
      <w:lang w:val="en-GB"/>
    </w:rPr>
  </w:style>
  <w:style w:type="character" w:styleId="CH3Char" w:customStyle="1">
    <w:name w:val="CH3 Char"/>
    <w:link w:val="CH3"/>
    <w:locked/>
    <w:rsid w:val="00EA1C1B"/>
    <w:rPr>
      <w:rFonts w:hAnsiTheme="minorHAnsi" w:eastAsiaTheme="minorHAnsi"/>
      <w:b/>
      <w:szCs w:val="30"/>
      <w:lang w:val="en-GB"/>
    </w:rPr>
  </w:style>
  <w:style w:type="character" w:styleId="ZZAnxheaderChar" w:customStyle="1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styleId="ZZAnxtitleChar" w:customStyle="1">
    <w:name w:val="ZZ_Anx_title Char"/>
    <w:link w:val="ZZAnxtitle"/>
    <w:locked/>
    <w:rsid w:val="00EA1C1B"/>
    <w:rPr>
      <w:rFonts w:hAnsiTheme="minorHAnsi" w:eastAsiaTheme="minorHAnsi"/>
      <w:b/>
      <w:bCs/>
      <w:sz w:val="28"/>
      <w:szCs w:val="26"/>
      <w:lang w:val="en-GB"/>
    </w:rPr>
  </w:style>
  <w:style w:type="character" w:styleId="ListParagraphChar" w:customStyle="1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styleId="HeaderChar" w:customStyle="1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styleId="FooterChar" w:customStyle="1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styleId="Default" w:customStyle="1">
    <w:name w:val="Default"/>
    <w:uiPriority w:val="99"/>
    <w:rsid w:val="00EA1C1B"/>
    <w:pPr>
      <w:autoSpaceDE w:val="0"/>
      <w:autoSpaceDN w:val="0"/>
      <w:adjustRightInd w:val="0"/>
    </w:pPr>
    <w:rPr>
      <w:rFonts w:ascii="Roboto" w:hAnsi="Roboto" w:cs="Roboto" w:eastAsiaTheme="minorEastAsia"/>
      <w:color w:val="000000"/>
      <w:sz w:val="24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styleId="Heading9Char" w:customStyle="1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hint="cs" w:hAnsiTheme="minorHAnsi" w:eastAsiaTheme="minorHAnsi"/>
      <w:sz w:val="18"/>
      <w:szCs w:val="18"/>
      <w:lang w:val="en-GB"/>
    </w:rPr>
  </w:style>
  <w:style w:type="paragraph" w:styleId="Addedtext" w:customStyle="1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hint="cs" w:hAnsiTheme="minorHAnsi" w:eastAsiaTheme="minorHAnsi"/>
      <w:color w:val="FF0000"/>
      <w:sz w:val="24"/>
      <w:lang w:val="en-GB"/>
    </w:rPr>
  </w:style>
  <w:style w:type="character" w:styleId="BBTitleChar" w:customStyle="1">
    <w:name w:val="BB_Title Char"/>
    <w:link w:val="BBTitle"/>
    <w:rsid w:val="00EA1C1B"/>
    <w:rPr>
      <w:rFonts w:hAnsiTheme="minorHAnsi" w:eastAsia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 w:hAnsiTheme="minorHAnsi" w:eastAsiaTheme="minorHAnsi"/>
      <w:lang w:val="en-GB"/>
    </w:rPr>
  </w:style>
  <w:style w:type="character" w:styleId="CommentTextChar" w:customStyle="1">
    <w:name w:val="Comment Text Char"/>
    <w:basedOn w:val="DefaultParagraphFont"/>
    <w:link w:val="CommentText"/>
    <w:rsid w:val="00EA1C1B"/>
    <w:rPr>
      <w:rFonts w:hAnsiTheme="minorHAnsi" w:eastAsia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1C1B"/>
    <w:rPr>
      <w:rFonts w:hAnsiTheme="minorHAnsi" w:eastAsia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styleId="Heading1Char" w:customStyle="1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hint="cs" w:hAnsiTheme="minorHAnsi" w:eastAsiaTheme="minorHAnsi"/>
      <w:lang w:val="en-GB"/>
    </w:rPr>
  </w:style>
  <w:style w:type="character" w:styleId="Heading2Char" w:customStyle="1">
    <w:name w:val="Heading 2 Char"/>
    <w:basedOn w:val="DefaultParagraphFont"/>
    <w:link w:val="Heading2"/>
    <w:rsid w:val="00EA1C1B"/>
    <w:rPr>
      <w:szCs w:val="30"/>
      <w:u w:val="single"/>
    </w:rPr>
  </w:style>
  <w:style w:type="character" w:styleId="Heading3Char" w:customStyle="1">
    <w:name w:val="Heading 3 Char"/>
    <w:basedOn w:val="DefaultParagraphFont"/>
    <w:link w:val="Heading3"/>
    <w:rsid w:val="00EA1C1B"/>
    <w:rPr>
      <w:szCs w:val="30"/>
      <w:u w:val="single"/>
    </w:rPr>
  </w:style>
  <w:style w:type="character" w:styleId="Heading4Char" w:customStyle="1">
    <w:name w:val="Heading 4 Char"/>
    <w:basedOn w:val="DefaultParagraphFont"/>
    <w:link w:val="Heading4"/>
    <w:rsid w:val="00EA1C1B"/>
    <w:rPr>
      <w:szCs w:val="30"/>
    </w:rPr>
  </w:style>
  <w:style w:type="character" w:styleId="Heading5Char" w:customStyle="1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styleId="Heading6Char" w:customStyle="1">
    <w:name w:val="Heading 6 Char"/>
    <w:basedOn w:val="DefaultParagraphFont"/>
    <w:link w:val="Heading6"/>
    <w:rsid w:val="00EA1C1B"/>
    <w:rPr>
      <w:szCs w:val="30"/>
      <w:u w:val="single"/>
    </w:rPr>
  </w:style>
  <w:style w:type="character" w:styleId="Heading7Char" w:customStyle="1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styleId="Heading8Char" w:customStyle="1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styleId="NormalNonumber" w:customStyle="1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hAnsiTheme="minorHAnsi" w:eastAsiaTheme="minorHAnsi"/>
      <w:lang w:val="en-GB"/>
    </w:rPr>
  </w:style>
  <w:style w:type="paragraph" w:styleId="Articleheading" w:customStyle="1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hint="cs" w:hAnsiTheme="minorHAnsi" w:eastAsiaTheme="minorHAnsi"/>
      <w:sz w:val="28"/>
      <w:szCs w:val="28"/>
      <w:lang w:val="en-GB"/>
    </w:rPr>
  </w:style>
  <w:style w:type="character" w:styleId="Inget" w:customStyle="1">
    <w:name w:val="Inget"/>
    <w:rsid w:val="00EA1C1B"/>
  </w:style>
  <w:style w:type="numbering" w:styleId="Importeradestilen4" w:customStyle="1">
    <w:name w:val="Importerade stilen 4"/>
    <w:rsid w:val="00EA1C1B"/>
    <w:pPr>
      <w:numPr>
        <w:numId w:val="6"/>
      </w:numPr>
    </w:pPr>
  </w:style>
  <w:style w:type="numbering" w:styleId="Importeradestilen5" w:customStyle="1">
    <w:name w:val="Importerade stilen 5"/>
    <w:rsid w:val="00EA1C1B"/>
    <w:pPr>
      <w:numPr>
        <w:numId w:val="7"/>
      </w:numPr>
    </w:pPr>
  </w:style>
  <w:style w:type="numbering" w:styleId="Importeradestilen3" w:customStyle="1">
    <w:name w:val="Importerade stilen 3"/>
    <w:rsid w:val="00EA1C1B"/>
    <w:pPr>
      <w:numPr>
        <w:numId w:val="5"/>
      </w:numPr>
    </w:pPr>
  </w:style>
  <w:style w:type="paragraph" w:styleId="Brdtext" w:customStyle="1">
    <w:name w:val="Brödtext"/>
    <w:rsid w:val="00EA1C1B"/>
    <w:pPr>
      <w:pBdr>
        <w:top w:val="none" w:color="FFFFFF" w:sz="96" w:space="31" w:shadow="1" w:frame="1"/>
        <w:left w:val="none" w:color="FFFFFF" w:sz="96" w:space="31" w:shadow="1" w:frame="1"/>
        <w:bottom w:val="none" w:color="FFFFFF" w:sz="96" w:space="31" w:shadow="1" w:frame="1"/>
        <w:right w:val="none" w:color="FFFFFF" w:sz="96" w:space="31" w:shadow="1" w:frame="1"/>
        <w:bar w:val="none" w:color="000000" w:sz="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styleId="Importeradestilen2" w:customStyle="1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Body" w:customStyle="1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styleId="ImportedStyle1" w:customStyle="1">
    <w:name w:val="Imported Style 1"/>
    <w:rsid w:val="00EA1C1B"/>
    <w:pPr>
      <w:numPr>
        <w:numId w:val="9"/>
      </w:numPr>
    </w:pPr>
  </w:style>
  <w:style w:type="numbering" w:styleId="ImportedStyle2" w:customStyle="1">
    <w:name w:val="Imported Style 2"/>
    <w:rsid w:val="00EA1C1B"/>
    <w:pPr>
      <w:numPr>
        <w:numId w:val="10"/>
      </w:numPr>
    </w:pPr>
  </w:style>
  <w:style w:type="character" w:styleId="Hyperlink0" w:customStyle="1">
    <w:name w:val="Hyperlink.0"/>
    <w:rsid w:val="00EA1C1B"/>
    <w:rPr>
      <w:rFonts w:cs="Times New Roman"/>
      <w:lang w:val="en-US" w:eastAsia="x-none"/>
    </w:rPr>
  </w:style>
  <w:style w:type="numbering" w:styleId="Importeradestilen14" w:customStyle="1">
    <w:name w:val="Importerade stilen 14"/>
    <w:rsid w:val="00EA1C1B"/>
    <w:pPr>
      <w:numPr>
        <w:numId w:val="12"/>
      </w:numPr>
    </w:pPr>
  </w:style>
  <w:style w:type="numbering" w:styleId="Importeradestilen15" w:customStyle="1">
    <w:name w:val="Importerade stilen 15"/>
    <w:rsid w:val="00EA1C1B"/>
    <w:pPr>
      <w:numPr>
        <w:numId w:val="13"/>
      </w:numPr>
    </w:pPr>
  </w:style>
  <w:style w:type="numbering" w:styleId="Importeradestilen12" w:customStyle="1">
    <w:name w:val="Importerade stilen 12"/>
    <w:rsid w:val="00EA1C1B"/>
    <w:pPr>
      <w:numPr>
        <w:numId w:val="11"/>
      </w:numPr>
    </w:pPr>
  </w:style>
  <w:style w:type="character" w:styleId="NormalNonumberChar" w:customStyle="1">
    <w:name w:val="Normal_No_number Char"/>
    <w:link w:val="NormalNonumber"/>
    <w:locked/>
    <w:rsid w:val="00EA1C1B"/>
    <w:rPr>
      <w:rFonts w:hAnsiTheme="minorHAnsi" w:eastAsia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hint="cs" w:hAnsiTheme="minorHAnsi" w:eastAsiaTheme="minorHAnsi"/>
      <w:sz w:val="24"/>
      <w:szCs w:val="24"/>
    </w:rPr>
  </w:style>
  <w:style w:type="table" w:styleId="Tabledocright" w:customStyle="1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paragraph" w:styleId="Titlefigure" w:customStyle="1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hint="cs" w:hAnsiTheme="minorHAnsi" w:eastAsiaTheme="minorHAnsi"/>
      <w:szCs w:val="24"/>
      <w:lang w:val="en-GB" w:eastAsia="en-GB"/>
    </w:rPr>
  </w:style>
  <w:style w:type="paragraph" w:styleId="CH4" w:customStyle="1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hint="cs" w:hAnsiTheme="minorHAnsi" w:eastAsiaTheme="minorHAnsi"/>
      <w:b/>
      <w:szCs w:val="24"/>
      <w:lang w:val="en-GB" w:eastAsia="en-GB"/>
    </w:rPr>
  </w:style>
  <w:style w:type="table" w:styleId="Footertable" w:customStyle="1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color="auto" w:sz="4" w:space="0"/>
        <w:left w:val="double" w:color="auto" w:sz="4" w:space="0"/>
        <w:bottom w:val="double" w:color="auto" w:sz="4" w:space="0"/>
        <w:right w:val="double" w:color="auto" w:sz="4" w:space="0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styleId="CH5" w:customStyle="1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hint="cs" w:hAnsiTheme="minorHAnsi" w:eastAsiaTheme="minorHAnsi"/>
      <w:b/>
      <w:szCs w:val="24"/>
      <w:lang w:val="en-GB" w:eastAsia="en-GB"/>
    </w:rPr>
  </w:style>
  <w:style w:type="table" w:styleId="AATable" w:customStyle="1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="0" w:beforeLines="0" w:beforeAutospacing="0" w:after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="567" w:rightChars="0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firstCol">
      <w:pPr>
        <w:wordWrap/>
        <w:ind w:right="0" w:rightChars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="0" w:beforeLines="0" w:beforeAutospacing="0" w:after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color="auto" w:sz="4" w:space="0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="0" w:beforeLines="0" w:beforeAutospacing="0" w:after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="120" w:beforeLines="0" w:beforeAutospacing="0" w:after="120" w:afterLines="0" w:afterAutospacing="0"/>
        <w:ind w:left="0" w:leftChars="0" w:right="0" w:rightChars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="1600" w:afterLines="0" w:afterAutospacing="0"/>
        <w:ind w:right="0" w:rightChars="0"/>
      </w:pPr>
      <w:rPr>
        <w:rFonts w:ascii="Times New Roman" w:hAnsi="Times New Roman"/>
      </w:rPr>
    </w:tblStylePr>
  </w:style>
  <w:style w:type="paragraph" w:styleId="AATitle2" w:customStyle="1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styleId="Titletable" w:customStyle="1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hint="cs" w:hAnsiTheme="minorHAnsi" w:eastAsiaTheme="minorHAnsi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hint="cs" w:hAnsiTheme="minorHAnsi" w:eastAsiaTheme="minorHAnsi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hint="cs" w:hAnsiTheme="minorHAnsi" w:eastAsiaTheme="minorHAnsi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hint="cs" w:hAnsiTheme="minorHAnsi" w:eastAsiaTheme="minorHAnsi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hint="cs" w:hAnsiTheme="minorHAnsi" w:eastAsiaTheme="minorHAnsi"/>
      <w:sz w:val="18"/>
      <w:szCs w:val="18"/>
      <w:lang w:val="en-GB" w:eastAsia="en-GB"/>
    </w:rPr>
  </w:style>
  <w:style w:type="table" w:styleId="PlainTable41" w:customStyle="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Normallist1" w:customStyle="1">
    <w:name w:val="Normal_list1"/>
    <w:basedOn w:val="NoList"/>
    <w:rsid w:val="00EA1C1B"/>
  </w:style>
  <w:style w:type="table" w:styleId="TableGrid1" w:customStyle="1">
    <w:name w:val="Table Grid1"/>
    <w:basedOn w:val="TableNormal"/>
    <w:next w:val="TableGrid"/>
    <w:rsid w:val="00EA1C1B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docright1" w:customStyle="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styleId="NoList1" w:customStyle="1">
    <w:name w:val="No List1"/>
    <w:next w:val="NoList"/>
    <w:uiPriority w:val="99"/>
    <w:semiHidden/>
    <w:unhideWhenUsed/>
    <w:rsid w:val="00EA1C1B"/>
  </w:style>
  <w:style w:type="character" w:styleId="BodyText2Char" w:customStyle="1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styleId="Normallist2" w:customStyle="1">
    <w:name w:val="Normal_list2"/>
    <w:rsid w:val="00EA1C1B"/>
  </w:style>
  <w:style w:type="table" w:styleId="TableGrid2" w:customStyle="1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yle1" w:customStyle="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UNEP/GC/25/00</dc:title>
  <dc:creator>ARABIC UNIT</dc:creator>
  <lastModifiedBy>Joyce Saad</lastModifiedBy>
  <revision>4</revision>
  <lastPrinted>2018-02-09T11:19:00.0000000Z</lastPrinted>
  <dcterms:created xsi:type="dcterms:W3CDTF">2020-12-17T14:33:00.0000000Z</dcterms:created>
  <dcterms:modified xsi:type="dcterms:W3CDTF">2021-01-15T10:02:29.0286521Z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