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6C2D55AD"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F55458">
              <w:rPr>
                <w:lang w:val="en-GB"/>
              </w:rPr>
              <w:t>1</w:t>
            </w:r>
            <w:r w:rsidR="006C310F">
              <w:rPr>
                <w:lang w:val="en-GB"/>
              </w:rPr>
              <w:t>/</w:t>
            </w:r>
            <w:r w:rsidR="006004E9">
              <w:rPr>
                <w:lang w:val="en-GB"/>
              </w:rPr>
              <w:t>Dec.</w:t>
            </w:r>
            <w:r w:rsidR="001254BF">
              <w:rPr>
                <w:lang w:val="en-GB"/>
              </w:rPr>
              <w:t>6</w:t>
            </w:r>
          </w:p>
        </w:tc>
      </w:tr>
      <w:tr w:rsidR="00032E4E" w:rsidRPr="00D76E1F"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34B51710" w14:textId="77777777" w:rsidR="00F55458" w:rsidRPr="00711F4E" w:rsidRDefault="00F55458" w:rsidP="00F55458">
            <w:pPr>
              <w:spacing w:before="120"/>
              <w:rPr>
                <w:lang w:val="en-US"/>
              </w:rPr>
            </w:pPr>
            <w:proofErr w:type="spellStart"/>
            <w:r w:rsidRPr="00200ABD">
              <w:rPr>
                <w:lang w:val="en-GB"/>
              </w:rPr>
              <w:t>Distr</w:t>
            </w:r>
            <w:proofErr w:type="spellEnd"/>
            <w:r w:rsidRPr="00711F4E">
              <w:rPr>
                <w:lang w:val="en-US"/>
              </w:rPr>
              <w:t xml:space="preserve">.: </w:t>
            </w:r>
            <w:r>
              <w:rPr>
                <w:lang w:val="en-GB"/>
              </w:rPr>
              <w:t>General</w:t>
            </w:r>
          </w:p>
          <w:p w14:paraId="2242A1D9" w14:textId="77777777" w:rsidR="00F55458" w:rsidRPr="00711F4E" w:rsidRDefault="00F55458" w:rsidP="00F55458">
            <w:pPr>
              <w:rPr>
                <w:lang w:val="en-US"/>
              </w:rPr>
            </w:pPr>
            <w:r>
              <w:rPr>
                <w:lang w:val="en-US"/>
              </w:rPr>
              <w:t>22</w:t>
            </w:r>
            <w:r w:rsidRPr="00711F4E">
              <w:rPr>
                <w:lang w:val="en-US"/>
              </w:rPr>
              <w:t xml:space="preserve"> </w:t>
            </w:r>
            <w:r>
              <w:rPr>
                <w:lang w:val="en-US"/>
              </w:rPr>
              <w:t>November</w:t>
            </w:r>
            <w:r w:rsidRPr="00711F4E">
              <w:rPr>
                <w:lang w:val="en-US"/>
              </w:rPr>
              <w:t xml:space="preserve"> 2017</w:t>
            </w:r>
          </w:p>
          <w:p w14:paraId="6F78AAFF" w14:textId="7147BDEC" w:rsidR="00032E4E" w:rsidRPr="00826AF3" w:rsidRDefault="00F55458" w:rsidP="00F55458">
            <w:pPr>
              <w:tabs>
                <w:tab w:val="clear" w:pos="1247"/>
                <w:tab w:val="clear" w:pos="1814"/>
                <w:tab w:val="clear" w:pos="2381"/>
                <w:tab w:val="clear" w:pos="2948"/>
                <w:tab w:val="clear" w:pos="3515"/>
              </w:tabs>
              <w:spacing w:before="120"/>
              <w:rPr>
                <w:lang w:val="en-GB"/>
              </w:rPr>
            </w:pPr>
            <w:r w:rsidRPr="00200ABD">
              <w:rPr>
                <w:lang w:val="en-GB"/>
              </w:rPr>
              <w:t>Russian</w:t>
            </w:r>
            <w:r w:rsidRPr="00711F4E">
              <w:rPr>
                <w:lang w:val="en-US"/>
              </w:rPr>
              <w:t xml:space="preserve"> </w:t>
            </w:r>
            <w:r w:rsidRPr="00711F4E">
              <w:rPr>
                <w:lang w:val="en-US"/>
              </w:rPr>
              <w:br/>
            </w:r>
            <w:r w:rsidRPr="00200ABD">
              <w:rPr>
                <w:lang w:val="en-GB"/>
              </w:rPr>
              <w:t>Original</w:t>
            </w:r>
            <w:r w:rsidRPr="00711F4E">
              <w:rPr>
                <w:lang w:val="en-US"/>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48C6F6C3" w14:textId="77777777" w:rsidR="00F67426" w:rsidRDefault="00F67426" w:rsidP="00F67426">
      <w:pPr>
        <w:rPr>
          <w:b/>
        </w:rPr>
      </w:pPr>
      <w:r>
        <w:rPr>
          <w:b/>
        </w:rPr>
        <w:t>Первое совещание</w:t>
      </w:r>
    </w:p>
    <w:p w14:paraId="66774071" w14:textId="77777777" w:rsidR="00F55458" w:rsidRPr="007A48D4" w:rsidRDefault="00F55458" w:rsidP="00F55458">
      <w:r w:rsidRPr="00A54CB9">
        <w:t>Женева, 24</w:t>
      </w:r>
      <w:r>
        <w:t>-</w:t>
      </w:r>
      <w:r w:rsidRPr="00A54CB9">
        <w:t>29 сентября 2017 года</w:t>
      </w:r>
    </w:p>
    <w:p w14:paraId="6C02601B" w14:textId="77777777" w:rsidR="001E6808" w:rsidRDefault="001E6808" w:rsidP="001E6808">
      <w:pPr>
        <w:tabs>
          <w:tab w:val="left" w:pos="720"/>
        </w:tabs>
        <w:spacing w:before="360" w:after="240"/>
        <w:ind w:left="1247" w:right="567"/>
        <w:rPr>
          <w:b/>
          <w:bCs/>
          <w:sz w:val="28"/>
          <w:szCs w:val="28"/>
        </w:rPr>
      </w:pPr>
      <w:bookmarkStart w:id="2" w:name="_Toc505854132"/>
      <w:bookmarkStart w:id="3" w:name="_Hlk55551670"/>
      <w:proofErr w:type="gramStart"/>
      <w:r>
        <w:rPr>
          <w:b/>
          <w:bCs/>
          <w:sz w:val="28"/>
          <w:szCs w:val="28"/>
        </w:rPr>
        <w:t>Решение</w:t>
      </w:r>
      <w:proofErr w:type="gramEnd"/>
      <w:r>
        <w:rPr>
          <w:b/>
          <w:bCs/>
          <w:sz w:val="28"/>
          <w:szCs w:val="28"/>
        </w:rPr>
        <w:t xml:space="preserve"> принятое на первом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bookmarkEnd w:id="2"/>
    <w:bookmarkEnd w:id="3"/>
    <w:p w14:paraId="6C03E246" w14:textId="77777777" w:rsidR="00D76E1F" w:rsidRPr="00D76E1F" w:rsidRDefault="00D76E1F" w:rsidP="00D76E1F">
      <w:pPr>
        <w:tabs>
          <w:tab w:val="clear" w:pos="1247"/>
          <w:tab w:val="clear" w:pos="1814"/>
          <w:tab w:val="clear" w:pos="2381"/>
          <w:tab w:val="clear" w:pos="2948"/>
          <w:tab w:val="clear" w:pos="3515"/>
        </w:tabs>
        <w:spacing w:after="120"/>
        <w:ind w:left="1247" w:right="567"/>
        <w:rPr>
          <w:b/>
          <w:bCs/>
          <w:sz w:val="24"/>
          <w:szCs w:val="24"/>
        </w:rPr>
      </w:pPr>
      <w:r w:rsidRPr="00D76E1F">
        <w:rPr>
          <w:b/>
          <w:bCs/>
          <w:sz w:val="24"/>
          <w:szCs w:val="24"/>
        </w:rPr>
        <w:t>Решение МК-1/6 о целевой международной программе для поддержки процессов создания потенциала и оказания технической помощи, окончательный вариант кот</w:t>
      </w:r>
      <w:bookmarkStart w:id="4" w:name="_GoBack"/>
      <w:bookmarkEnd w:id="4"/>
      <w:r w:rsidRPr="00D76E1F">
        <w:rPr>
          <w:b/>
          <w:bCs/>
          <w:sz w:val="24"/>
          <w:szCs w:val="24"/>
        </w:rPr>
        <w:t>орого был подготовлен Конференцией Сторон на ее втором совещании (ноябрь 2018 года)</w:t>
      </w:r>
      <w:r w:rsidRPr="00D76E1F">
        <w:rPr>
          <w:b/>
          <w:bCs/>
          <w:sz w:val="24"/>
          <w:szCs w:val="24"/>
        </w:rPr>
        <w:footnoteReference w:customMarkFollows="1" w:id="1"/>
        <w:t>*</w:t>
      </w:r>
    </w:p>
    <w:p w14:paraId="6C0C8B6B" w14:textId="77777777" w:rsidR="00D76E1F" w:rsidRPr="00692E97" w:rsidRDefault="00D76E1F" w:rsidP="00D76E1F">
      <w:pPr>
        <w:tabs>
          <w:tab w:val="clear" w:pos="1247"/>
          <w:tab w:val="clear" w:pos="1814"/>
          <w:tab w:val="clear" w:pos="2381"/>
          <w:tab w:val="clear" w:pos="2948"/>
          <w:tab w:val="clear" w:pos="3515"/>
        </w:tabs>
        <w:spacing w:after="120"/>
        <w:ind w:left="1247" w:firstLine="624"/>
        <w:rPr>
          <w:i/>
          <w:iCs/>
        </w:rPr>
      </w:pPr>
      <w:r w:rsidRPr="00692E97">
        <w:rPr>
          <w:i/>
          <w:iCs/>
        </w:rPr>
        <w:t>Конференция Сторон,</w:t>
      </w:r>
    </w:p>
    <w:p w14:paraId="384D689B"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692E97">
        <w:rPr>
          <w:i/>
          <w:iCs/>
        </w:rPr>
        <w:t>ссылаясь</w:t>
      </w:r>
      <w:r w:rsidRPr="00330A8B">
        <w:t xml:space="preserve"> на статью 13 </w:t>
      </w:r>
      <w:proofErr w:type="spellStart"/>
      <w:r w:rsidRPr="00330A8B">
        <w:t>Минаматской</w:t>
      </w:r>
      <w:proofErr w:type="spellEnd"/>
      <w:r w:rsidRPr="00330A8B">
        <w:t xml:space="preserve"> конвенции о ртути, в которой определяется механизм финансирования для оказания поддержки Сторонам, являющимся развивающимися странами, и Сторонам, являющимся странами с переходной экономикой, в деле выполнения ими своих обязательств в рамках Конвенции, и что в состав этого механизма входят Целевой фонд Глобального экологического фонда и целевая международная программа для поддержки процессов создания потенциала и оказания технической помощи,</w:t>
      </w:r>
    </w:p>
    <w:p w14:paraId="0CB2C8F8"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692E97">
        <w:rPr>
          <w:i/>
          <w:iCs/>
        </w:rPr>
        <w:t>ссылаясь также</w:t>
      </w:r>
      <w:r w:rsidRPr="00330A8B">
        <w:t xml:space="preserve"> на пункт 6 резолюции о финансовых процедурах Заключительного акта Конференции полномочных представителей по </w:t>
      </w:r>
      <w:proofErr w:type="spellStart"/>
      <w:r w:rsidRPr="00330A8B">
        <w:t>Минаматской</w:t>
      </w:r>
      <w:proofErr w:type="spellEnd"/>
      <w:r w:rsidRPr="00330A8B">
        <w:t xml:space="preserve"> конвенции о ртути («резолюция №2»), в котором Конференция просила Межправительственный комитет для ведения переговоров по подготовке имеющего обязательную юридическую силу глобального документа по ртути «разработать для рассмотрения Конференцией Сторон на ее первом совещании предложение о принимающем учреждении целевой международной программы, включая любые необходимые договоренности с принимающим учреждением, и руководящие положения относительно осуществления этой программы и срока ее действия»,</w:t>
      </w:r>
    </w:p>
    <w:p w14:paraId="41D49096"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1.</w:t>
      </w:r>
      <w:r w:rsidRPr="00330A8B">
        <w:tab/>
      </w:r>
      <w:r w:rsidRPr="00692E97">
        <w:rPr>
          <w:i/>
          <w:iCs/>
        </w:rPr>
        <w:t xml:space="preserve">постановляет, </w:t>
      </w:r>
      <w:r w:rsidRPr="00330A8B">
        <w:t>что принимающее учреждение, о котором идет речь в пункте 9 статьи 13, обеспечивается Программой Организации Объединенных Наций по окружающей среде;</w:t>
      </w:r>
    </w:p>
    <w:p w14:paraId="12BB90B4"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2.</w:t>
      </w:r>
      <w:r w:rsidRPr="00330A8B">
        <w:tab/>
      </w:r>
      <w:r w:rsidRPr="00692E97">
        <w:rPr>
          <w:i/>
          <w:iCs/>
        </w:rPr>
        <w:t xml:space="preserve">утверждает </w:t>
      </w:r>
      <w:r w:rsidRPr="00330A8B">
        <w:t>необходимые организационные меры, касающиеся принимающего учреждения, и руководящие указания относительно осуществления этой программы и срока ее действия, изложенные в приложении I к настоящему решению, и положение о целевой международной программе, изложенное в приложении II к настоящему решению;</w:t>
      </w:r>
    </w:p>
    <w:p w14:paraId="40AB046F"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3.</w:t>
      </w:r>
      <w:r w:rsidRPr="00330A8B">
        <w:tab/>
      </w:r>
      <w:r w:rsidRPr="00692E97">
        <w:rPr>
          <w:i/>
          <w:iCs/>
        </w:rPr>
        <w:t xml:space="preserve">просит </w:t>
      </w:r>
      <w:r w:rsidRPr="00330A8B">
        <w:t>Директора-исполнителя Программы Организации Объединенных Наций по окружающей среде учредить целевой фонд для целевой международной программы;</w:t>
      </w:r>
    </w:p>
    <w:p w14:paraId="7BD5F541"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lastRenderedPageBreak/>
        <w:t>4.</w:t>
      </w:r>
      <w:r w:rsidRPr="00330A8B">
        <w:tab/>
      </w:r>
      <w:r w:rsidRPr="00692E97">
        <w:rPr>
          <w:i/>
          <w:iCs/>
        </w:rPr>
        <w:t>просит также</w:t>
      </w:r>
      <w:r w:rsidRPr="00330A8B">
        <w:t xml:space="preserve"> Директора-исполнителя Программы Организации Объединенных Наций по окружающей среде реализовать механизмы управления, изложенные в приложениях к настоящему решению.</w:t>
      </w:r>
    </w:p>
    <w:p w14:paraId="5A2EC422" w14:textId="77777777" w:rsidR="00D76E1F" w:rsidRPr="00692E97" w:rsidRDefault="00D76E1F" w:rsidP="00D76E1F">
      <w:pPr>
        <w:tabs>
          <w:tab w:val="clear" w:pos="1247"/>
          <w:tab w:val="clear" w:pos="1814"/>
          <w:tab w:val="clear" w:pos="2381"/>
          <w:tab w:val="clear" w:pos="2948"/>
          <w:tab w:val="clear" w:pos="3515"/>
        </w:tabs>
        <w:spacing w:after="120"/>
        <w:ind w:left="1247"/>
        <w:rPr>
          <w:b/>
          <w:bCs/>
          <w:sz w:val="24"/>
          <w:szCs w:val="24"/>
        </w:rPr>
      </w:pPr>
      <w:r w:rsidRPr="00692E97">
        <w:rPr>
          <w:b/>
          <w:bCs/>
          <w:sz w:val="24"/>
          <w:szCs w:val="24"/>
        </w:rPr>
        <w:t>Приложение I к решению МК-1/6</w:t>
      </w:r>
    </w:p>
    <w:p w14:paraId="4F274091" w14:textId="77777777" w:rsidR="00D76E1F" w:rsidRPr="00692E97" w:rsidRDefault="00D76E1F" w:rsidP="00D76E1F">
      <w:pPr>
        <w:tabs>
          <w:tab w:val="clear" w:pos="1247"/>
          <w:tab w:val="clear" w:pos="1814"/>
          <w:tab w:val="clear" w:pos="2381"/>
          <w:tab w:val="clear" w:pos="2948"/>
          <w:tab w:val="clear" w:pos="3515"/>
        </w:tabs>
        <w:spacing w:after="120"/>
        <w:ind w:left="1247"/>
        <w:rPr>
          <w:b/>
          <w:bCs/>
          <w:sz w:val="24"/>
          <w:szCs w:val="24"/>
        </w:rPr>
      </w:pPr>
      <w:r w:rsidRPr="00692E97">
        <w:rPr>
          <w:b/>
          <w:bCs/>
          <w:sz w:val="24"/>
          <w:szCs w:val="24"/>
        </w:rPr>
        <w:t xml:space="preserve">Организационные меры, касающиеся принимающего учреждения, руководящие указания относительно осуществления целевой международной программы </w:t>
      </w:r>
      <w:r w:rsidRPr="00857967">
        <w:rPr>
          <w:b/>
          <w:bCs/>
          <w:sz w:val="24"/>
          <w:szCs w:val="24"/>
        </w:rPr>
        <w:t xml:space="preserve">для поддержки процессов создания потенциала и оказания технической помощи </w:t>
      </w:r>
      <w:r w:rsidRPr="00692E97">
        <w:rPr>
          <w:b/>
          <w:bCs/>
          <w:sz w:val="24"/>
          <w:szCs w:val="24"/>
        </w:rPr>
        <w:t>и срока ее действия</w:t>
      </w:r>
    </w:p>
    <w:p w14:paraId="2FE4C9F4" w14:textId="77777777" w:rsidR="00D76E1F" w:rsidRPr="00E6732F" w:rsidRDefault="00D76E1F" w:rsidP="00D76E1F">
      <w:pPr>
        <w:tabs>
          <w:tab w:val="clear" w:pos="1247"/>
          <w:tab w:val="clear" w:pos="1814"/>
          <w:tab w:val="clear" w:pos="2381"/>
          <w:tab w:val="clear" w:pos="2948"/>
          <w:tab w:val="clear" w:pos="3515"/>
          <w:tab w:val="right" w:pos="851"/>
        </w:tabs>
        <w:spacing w:after="120"/>
        <w:ind w:left="1247" w:right="284" w:hanging="1247"/>
        <w:rPr>
          <w:b/>
          <w:bCs/>
          <w:sz w:val="24"/>
          <w:szCs w:val="24"/>
        </w:rPr>
      </w:pPr>
      <w:r w:rsidRPr="00E6732F">
        <w:rPr>
          <w:b/>
          <w:bCs/>
          <w:sz w:val="24"/>
          <w:szCs w:val="24"/>
        </w:rPr>
        <w:tab/>
        <w:t>A.</w:t>
      </w:r>
      <w:r w:rsidRPr="00E6732F">
        <w:rPr>
          <w:b/>
          <w:bCs/>
          <w:sz w:val="24"/>
          <w:szCs w:val="24"/>
        </w:rPr>
        <w:tab/>
        <w:t>Механизмы управления для целевой международной программы</w:t>
      </w:r>
    </w:p>
    <w:p w14:paraId="77244FDB"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1.</w:t>
      </w:r>
      <w:r w:rsidRPr="00330A8B">
        <w:tab/>
        <w:t xml:space="preserve">Директор-исполнитель Программы Организации Объединенных Наций по окружающей среде обеспечивает административную поддержку программы путем выделения кадровых и других ресурсов через секретариат </w:t>
      </w:r>
      <w:proofErr w:type="spellStart"/>
      <w:r w:rsidRPr="00330A8B">
        <w:t>Минаматской</w:t>
      </w:r>
      <w:proofErr w:type="spellEnd"/>
      <w:r w:rsidRPr="00330A8B">
        <w:t xml:space="preserve"> конвенции</w:t>
      </w:r>
      <w:r>
        <w:rPr>
          <w:rStyle w:val="FootnoteReference"/>
        </w:rPr>
        <w:footnoteReference w:id="2"/>
      </w:r>
      <w:r w:rsidRPr="00330A8B">
        <w:t>.</w:t>
      </w:r>
    </w:p>
    <w:p w14:paraId="471889EE"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2.</w:t>
      </w:r>
      <w:r w:rsidRPr="00330A8B">
        <w:tab/>
        <w:t>Конференцией Сторон учреждается Правление целевой международной программы, которым осуществляется руководство и выполнение ее указаний, включая принятие решений по проектам и управление проектами.</w:t>
      </w:r>
    </w:p>
    <w:p w14:paraId="13705597" w14:textId="77777777" w:rsidR="00D76E1F" w:rsidRPr="00E6732F" w:rsidRDefault="00D76E1F" w:rsidP="00D76E1F">
      <w:pPr>
        <w:keepNext/>
        <w:keepLines/>
        <w:tabs>
          <w:tab w:val="clear" w:pos="1247"/>
          <w:tab w:val="clear" w:pos="1814"/>
          <w:tab w:val="clear" w:pos="2381"/>
          <w:tab w:val="clear" w:pos="2948"/>
          <w:tab w:val="clear" w:pos="3515"/>
          <w:tab w:val="right" w:pos="851"/>
        </w:tabs>
        <w:spacing w:after="120"/>
        <w:ind w:left="1247" w:right="284" w:hanging="1247"/>
        <w:rPr>
          <w:b/>
          <w:bCs/>
          <w:sz w:val="24"/>
          <w:szCs w:val="24"/>
        </w:rPr>
      </w:pPr>
      <w:r w:rsidRPr="00E6732F">
        <w:rPr>
          <w:b/>
          <w:bCs/>
          <w:sz w:val="24"/>
          <w:szCs w:val="24"/>
        </w:rPr>
        <w:tab/>
        <w:t>B.</w:t>
      </w:r>
      <w:r w:rsidRPr="00E6732F">
        <w:rPr>
          <w:b/>
          <w:bCs/>
          <w:sz w:val="24"/>
          <w:szCs w:val="24"/>
        </w:rPr>
        <w:tab/>
        <w:t>Руководящие указания в отношении целевой международной программы</w:t>
      </w:r>
      <w:bookmarkStart w:id="5" w:name="_Hlk494213029"/>
    </w:p>
    <w:p w14:paraId="57904B6F" w14:textId="77777777" w:rsidR="00D76E1F" w:rsidRPr="00E6732F" w:rsidRDefault="00D76E1F" w:rsidP="00D76E1F">
      <w:pPr>
        <w:tabs>
          <w:tab w:val="clear" w:pos="1247"/>
          <w:tab w:val="clear" w:pos="1814"/>
          <w:tab w:val="clear" w:pos="2381"/>
          <w:tab w:val="clear" w:pos="2948"/>
          <w:tab w:val="clear" w:pos="3515"/>
          <w:tab w:val="right" w:pos="851"/>
        </w:tabs>
        <w:spacing w:after="120"/>
        <w:ind w:left="1247" w:right="284" w:hanging="1247"/>
        <w:rPr>
          <w:b/>
          <w:bCs/>
        </w:rPr>
      </w:pPr>
      <w:r w:rsidRPr="00E6732F">
        <w:rPr>
          <w:b/>
          <w:bCs/>
        </w:rPr>
        <w:tab/>
        <w:t>1.</w:t>
      </w:r>
      <w:r w:rsidRPr="00E6732F">
        <w:rPr>
          <w:b/>
          <w:bCs/>
        </w:rPr>
        <w:tab/>
        <w:t>Сфера применения</w:t>
      </w:r>
    </w:p>
    <w:p w14:paraId="55AAC966"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3.</w:t>
      </w:r>
      <w:r w:rsidRPr="00330A8B">
        <w:tab/>
        <w:t>Согласно пункту 6 b) статьи 13 целевая международная программа призвана оказывать поддержку процессам создания потенциала и оказания технической помощи.</w:t>
      </w:r>
    </w:p>
    <w:p w14:paraId="13FD335C"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4.</w:t>
      </w:r>
      <w:r w:rsidRPr="00330A8B">
        <w:tab/>
        <w:t xml:space="preserve">Следует избегать дублирования и параллелизма между мероприятиями по оказанию технической помощи и созданию потенциала в рамках целевой международной программы и мероприятиями, проводимыми секретариатом </w:t>
      </w:r>
      <w:proofErr w:type="spellStart"/>
      <w:r w:rsidRPr="00330A8B">
        <w:t>Минаматской</w:t>
      </w:r>
      <w:proofErr w:type="spellEnd"/>
      <w:r w:rsidRPr="00330A8B">
        <w:t xml:space="preserve"> конвенции в соответствии со статьей 14.</w:t>
      </w:r>
    </w:p>
    <w:p w14:paraId="73A81A13" w14:textId="77777777" w:rsidR="00D76E1F" w:rsidRPr="00E6732F" w:rsidRDefault="00D76E1F" w:rsidP="00D76E1F">
      <w:pPr>
        <w:tabs>
          <w:tab w:val="clear" w:pos="1247"/>
          <w:tab w:val="clear" w:pos="1814"/>
          <w:tab w:val="clear" w:pos="2381"/>
          <w:tab w:val="clear" w:pos="2948"/>
          <w:tab w:val="clear" w:pos="3515"/>
          <w:tab w:val="right" w:pos="851"/>
        </w:tabs>
        <w:spacing w:after="120"/>
        <w:ind w:left="1247" w:right="284" w:hanging="1247"/>
        <w:rPr>
          <w:b/>
          <w:bCs/>
        </w:rPr>
      </w:pPr>
      <w:r w:rsidRPr="00E6732F">
        <w:rPr>
          <w:b/>
          <w:bCs/>
        </w:rPr>
        <w:tab/>
        <w:t>2.</w:t>
      </w:r>
      <w:r w:rsidRPr="00E6732F">
        <w:rPr>
          <w:b/>
          <w:bCs/>
        </w:rPr>
        <w:tab/>
        <w:t>Правомочность</w:t>
      </w:r>
    </w:p>
    <w:p w14:paraId="12FD39F3"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5.</w:t>
      </w:r>
      <w:r w:rsidRPr="00330A8B">
        <w:tab/>
        <w:t>Стороны, являющиеся развивающимися странами, и Стороны с переходной экономикой имеют право на получение ресурсов по линии механизма финансирования в соответствии с пунктом 5 статьи 13 Конвенции. В рамках целевой международной программы следует также в полной мере учитывать конкретные потребности и специфику Сторон, которые являются малыми островными развивающимися государствами и наименее развитыми странами, в соответствии с пунктом 4 статьи 13.</w:t>
      </w:r>
    </w:p>
    <w:p w14:paraId="17A4DA40"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6.</w:t>
      </w:r>
      <w:r w:rsidRPr="00330A8B">
        <w:tab/>
        <w:t>Государства, не являющиеся Сторонами Конвенции, не правомочны подавать заявления о предоставлении финансирования, но могут принимать участие в отдельных мероприятиях, осуществляемых в рамках целевой международной программы, по приглашению Сторон, на индивидуальной основе</w:t>
      </w:r>
      <w:r>
        <w:rPr>
          <w:rStyle w:val="FootnoteReference"/>
        </w:rPr>
        <w:footnoteReference w:id="3"/>
      </w:r>
      <w:r w:rsidRPr="00330A8B">
        <w:t>.</w:t>
      </w:r>
    </w:p>
    <w:p w14:paraId="2A557ADB"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7.</w:t>
      </w:r>
      <w:r w:rsidRPr="00330A8B">
        <w:tab/>
        <w:t>При представлении проектов правомочными Сторонами может рассматриваться вопрос о возможном участии различных учреждений-исполнителей, а также других субъектов, включая неправительственные организации и региональные и субрегиональные центры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w:t>
      </w:r>
    </w:p>
    <w:p w14:paraId="2C56E07A" w14:textId="77777777" w:rsidR="00D76E1F" w:rsidRPr="00E6732F" w:rsidRDefault="00D76E1F" w:rsidP="00D76E1F">
      <w:pPr>
        <w:tabs>
          <w:tab w:val="clear" w:pos="1247"/>
          <w:tab w:val="clear" w:pos="1814"/>
          <w:tab w:val="clear" w:pos="2381"/>
          <w:tab w:val="clear" w:pos="2948"/>
          <w:tab w:val="clear" w:pos="3515"/>
          <w:tab w:val="right" w:pos="851"/>
        </w:tabs>
        <w:spacing w:after="120"/>
        <w:ind w:left="1247" w:right="284" w:hanging="1247"/>
        <w:rPr>
          <w:b/>
          <w:bCs/>
        </w:rPr>
      </w:pPr>
      <w:r w:rsidRPr="00E6732F">
        <w:rPr>
          <w:b/>
          <w:bCs/>
        </w:rPr>
        <w:tab/>
        <w:t>3.</w:t>
      </w:r>
      <w:r w:rsidRPr="00E6732F">
        <w:rPr>
          <w:b/>
          <w:bCs/>
        </w:rPr>
        <w:tab/>
        <w:t>Деятельность</w:t>
      </w:r>
    </w:p>
    <w:p w14:paraId="1BEE75A6"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8.</w:t>
      </w:r>
      <w:r w:rsidRPr="00330A8B">
        <w:tab/>
        <w:t>В своей деятельности целевая международная программа руководствуется перечисленными ниже принципами, а именно:</w:t>
      </w:r>
    </w:p>
    <w:p w14:paraId="2624262A"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а)</w:t>
      </w:r>
      <w:r w:rsidRPr="00330A8B">
        <w:tab/>
        <w:t>инициативное участие стран с учетом национальных приоритетов, национальной ответственности и стабильного выполнения обязательств, предусмотренных в Конвенции;</w:t>
      </w:r>
    </w:p>
    <w:p w14:paraId="53D8F053"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b)</w:t>
      </w:r>
      <w:r w:rsidRPr="00330A8B">
        <w:tab/>
        <w:t xml:space="preserve">обеспечение взаимодополняемости и предупреждение дублирования усилий с другими существующими механизмами, обеспечивающими создание потенциала и техническую поддержку, в частности, с Глобальным экологическим фондом и Специальной </w:t>
      </w:r>
      <w:r w:rsidRPr="00330A8B">
        <w:lastRenderedPageBreak/>
        <w:t xml:space="preserve">программой для поддержки деятельности по укреплению институционального потенциала на национальном уровне в интересах осуществления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w:t>
      </w:r>
      <w:proofErr w:type="spellStart"/>
      <w:r w:rsidRPr="00330A8B">
        <w:t>Минаматской</w:t>
      </w:r>
      <w:proofErr w:type="spellEnd"/>
      <w:r w:rsidRPr="00330A8B">
        <w:t xml:space="preserve"> конвенции о ртути и Стратегического подхода к международному регулированию химических веществ, а также с другими существующими механизмами по оказанию содействия;</w:t>
      </w:r>
    </w:p>
    <w:p w14:paraId="44887C8A"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с)</w:t>
      </w:r>
      <w:r w:rsidRPr="00330A8B">
        <w:tab/>
        <w:t>использование приобретенного опыта и взаимодействие на национальном и региональном уровнях, в том числе путем содействия сотрудничеству по линии Юг-Юг;</w:t>
      </w:r>
    </w:p>
    <w:p w14:paraId="431E928C"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d)</w:t>
      </w:r>
      <w:r w:rsidRPr="00330A8B">
        <w:tab/>
        <w:t>согласованность с комплексным подходом к финансированию рационального регулирования химических веществ и отходов, как имеющего важное значение для осуществления Конвенции.</w:t>
      </w:r>
    </w:p>
    <w:p w14:paraId="06E8EB97" w14:textId="77777777" w:rsidR="00D76E1F" w:rsidRPr="00E6732F" w:rsidRDefault="00D76E1F" w:rsidP="00D76E1F">
      <w:pPr>
        <w:tabs>
          <w:tab w:val="clear" w:pos="1247"/>
          <w:tab w:val="clear" w:pos="1814"/>
          <w:tab w:val="clear" w:pos="2381"/>
          <w:tab w:val="clear" w:pos="2948"/>
          <w:tab w:val="clear" w:pos="3515"/>
          <w:tab w:val="right" w:pos="851"/>
        </w:tabs>
        <w:spacing w:after="120"/>
        <w:ind w:left="1247" w:right="284" w:hanging="1247"/>
        <w:rPr>
          <w:b/>
          <w:bCs/>
        </w:rPr>
      </w:pPr>
      <w:r w:rsidRPr="00E6732F">
        <w:rPr>
          <w:b/>
          <w:bCs/>
        </w:rPr>
        <w:tab/>
        <w:t>4.</w:t>
      </w:r>
      <w:r w:rsidRPr="00E6732F">
        <w:rPr>
          <w:b/>
          <w:bCs/>
        </w:rPr>
        <w:tab/>
        <w:t>Ресурсы</w:t>
      </w:r>
    </w:p>
    <w:p w14:paraId="30A2B475"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9.</w:t>
      </w:r>
      <w:r w:rsidRPr="00330A8B">
        <w:tab/>
        <w:t xml:space="preserve">Ресурсы целевой международной программы включают взносы в денежной и в натуральной форме, а также экспертный потенциал. Приветствуется предоставление ресурсов широким кругом источников. К ним относятся все Стороны </w:t>
      </w:r>
      <w:proofErr w:type="spellStart"/>
      <w:r w:rsidRPr="00330A8B">
        <w:t>Минаматской</w:t>
      </w:r>
      <w:proofErr w:type="spellEnd"/>
      <w:r w:rsidRPr="00330A8B">
        <w:t xml:space="preserve"> конвенции, имеющие возможность вносить свой вклад, а также другие соответствующие заинтересованные субъекты, включая правительства, частный сектор, фонды, неправительственные организации, межправительственные организации, научные круги и другие субъекты гражданского общества.</w:t>
      </w:r>
    </w:p>
    <w:p w14:paraId="6CF1B39C"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10.</w:t>
      </w:r>
      <w:r w:rsidRPr="00330A8B">
        <w:tab/>
        <w:t>Секретариату в консультации с Правлением целевой международной программы следует разработать стратегию мобилизации ресурсов для целевой международной программы для достижения цели Конвенции и привлечения широкого круга доноров, опираясь на опыт, приобретенный в других областях. В стратегию следует включить подходы, призванные обеспечить привлечение ресурсов, в том числе ресурсов в натуральной форме, от негосударственных субъектов.</w:t>
      </w:r>
    </w:p>
    <w:p w14:paraId="0F844FFA"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11.</w:t>
      </w:r>
      <w:r w:rsidRPr="00330A8B">
        <w:tab/>
        <w:t>Другие источники ресурсов для целевой международной программы могут быть задействованы благодаря координации с другими соответствующими программами и инициативами, включая:</w:t>
      </w:r>
    </w:p>
    <w:p w14:paraId="61FCD74D"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а)</w:t>
      </w:r>
      <w:r w:rsidRPr="00330A8B">
        <w:tab/>
        <w:t>связи с действующими программами и инициативами в поиске сопутствующих выгод там, где это возможно;</w:t>
      </w:r>
    </w:p>
    <w:p w14:paraId="3BDC88A1" w14:textId="77777777" w:rsidR="00D76E1F" w:rsidRPr="00330A8B" w:rsidRDefault="00D76E1F" w:rsidP="00D76E1F">
      <w:pPr>
        <w:tabs>
          <w:tab w:val="clear" w:pos="1247"/>
          <w:tab w:val="clear" w:pos="1814"/>
          <w:tab w:val="clear" w:pos="2381"/>
          <w:tab w:val="clear" w:pos="2948"/>
          <w:tab w:val="clear" w:pos="3515"/>
        </w:tabs>
        <w:spacing w:after="120"/>
        <w:ind w:left="1247" w:firstLine="624"/>
      </w:pPr>
      <w:r w:rsidRPr="00330A8B">
        <w:t>b)</w:t>
      </w:r>
      <w:r w:rsidRPr="00330A8B">
        <w:tab/>
        <w:t>усилия по стимулированию и использованию партнерств и сотрудничества в соответствующих случаях, с учетом опыта, приобретенного другими конвенциями.</w:t>
      </w:r>
    </w:p>
    <w:p w14:paraId="1672524C" w14:textId="77777777" w:rsidR="00D76E1F" w:rsidRPr="00E6732F" w:rsidRDefault="00D76E1F" w:rsidP="00D76E1F">
      <w:pPr>
        <w:tabs>
          <w:tab w:val="clear" w:pos="1247"/>
          <w:tab w:val="clear" w:pos="1814"/>
          <w:tab w:val="clear" w:pos="2381"/>
          <w:tab w:val="clear" w:pos="2948"/>
          <w:tab w:val="clear" w:pos="3515"/>
          <w:tab w:val="right" w:pos="851"/>
        </w:tabs>
        <w:spacing w:after="120"/>
        <w:ind w:left="1247" w:right="284" w:hanging="1247"/>
        <w:rPr>
          <w:b/>
          <w:bCs/>
          <w:sz w:val="24"/>
          <w:szCs w:val="24"/>
        </w:rPr>
      </w:pPr>
      <w:r w:rsidRPr="00E6732F">
        <w:rPr>
          <w:b/>
          <w:bCs/>
          <w:sz w:val="24"/>
          <w:szCs w:val="24"/>
        </w:rPr>
        <w:tab/>
        <w:t>C.</w:t>
      </w:r>
      <w:r w:rsidRPr="00E6732F">
        <w:rPr>
          <w:b/>
          <w:bCs/>
          <w:sz w:val="24"/>
          <w:szCs w:val="24"/>
        </w:rPr>
        <w:tab/>
        <w:t>Срок действия</w:t>
      </w:r>
    </w:p>
    <w:p w14:paraId="3ACBDDDD" w14:textId="77777777" w:rsidR="00D76E1F" w:rsidRPr="00330A8B" w:rsidRDefault="00D76E1F" w:rsidP="00D76E1F">
      <w:pPr>
        <w:tabs>
          <w:tab w:val="clear" w:pos="1247"/>
          <w:tab w:val="clear" w:pos="1814"/>
          <w:tab w:val="clear" w:pos="2381"/>
          <w:tab w:val="clear" w:pos="2948"/>
          <w:tab w:val="clear" w:pos="3515"/>
        </w:tabs>
        <w:spacing w:after="120"/>
        <w:ind w:left="1248"/>
      </w:pPr>
      <w:r w:rsidRPr="00330A8B">
        <w:t>12.</w:t>
      </w:r>
      <w:r w:rsidRPr="00330A8B">
        <w:tab/>
        <w:t xml:space="preserve">Целевая международная программа будет открыта для приема добровольных взносов и заявок на оказание поддержки в течение десяти лет после создания целевого фонда для нее. Конференция Сторон может принять решение о продлении срока действия на период, не превышающий семи лет дополнительно, с учетом процесса обзора механизма финансирования в соответствии с пунктом 11 статьи 13 </w:t>
      </w:r>
      <w:proofErr w:type="spellStart"/>
      <w:r w:rsidRPr="00330A8B">
        <w:t>Минаматской</w:t>
      </w:r>
      <w:proofErr w:type="spellEnd"/>
      <w:r w:rsidRPr="00330A8B">
        <w:t xml:space="preserve"> конвенции о ртути.</w:t>
      </w:r>
      <w:bookmarkEnd w:id="5"/>
    </w:p>
    <w:p w14:paraId="3A0B403A" w14:textId="77777777" w:rsidR="00D76E1F" w:rsidRPr="007D6FC9" w:rsidRDefault="00D76E1F" w:rsidP="00D76E1F">
      <w:pPr>
        <w:tabs>
          <w:tab w:val="clear" w:pos="1247"/>
          <w:tab w:val="clear" w:pos="1814"/>
          <w:tab w:val="clear" w:pos="2381"/>
          <w:tab w:val="clear" w:pos="2948"/>
          <w:tab w:val="clear" w:pos="3515"/>
        </w:tabs>
        <w:spacing w:after="120"/>
        <w:ind w:left="1248"/>
        <w:rPr>
          <w:b/>
          <w:bCs/>
          <w:sz w:val="24"/>
          <w:szCs w:val="24"/>
        </w:rPr>
      </w:pPr>
      <w:r w:rsidRPr="007D6FC9">
        <w:rPr>
          <w:b/>
          <w:bCs/>
          <w:sz w:val="24"/>
          <w:szCs w:val="24"/>
        </w:rPr>
        <w:t>Приложение II к решению МК-1/6</w:t>
      </w:r>
    </w:p>
    <w:p w14:paraId="5CABBBD9" w14:textId="77777777" w:rsidR="00D76E1F" w:rsidRPr="007D6FC9" w:rsidRDefault="00D76E1F" w:rsidP="00D76E1F">
      <w:pPr>
        <w:tabs>
          <w:tab w:val="clear" w:pos="1247"/>
          <w:tab w:val="clear" w:pos="1814"/>
          <w:tab w:val="clear" w:pos="2381"/>
          <w:tab w:val="clear" w:pos="2948"/>
          <w:tab w:val="clear" w:pos="3515"/>
        </w:tabs>
        <w:spacing w:after="120"/>
        <w:ind w:left="1248"/>
        <w:rPr>
          <w:b/>
          <w:bCs/>
          <w:sz w:val="24"/>
          <w:szCs w:val="24"/>
        </w:rPr>
      </w:pPr>
      <w:r w:rsidRPr="007D6FC9">
        <w:rPr>
          <w:b/>
          <w:bCs/>
          <w:sz w:val="24"/>
          <w:szCs w:val="24"/>
        </w:rPr>
        <w:t>Положение о целевой международной программе</w:t>
      </w:r>
    </w:p>
    <w:p w14:paraId="43525850" w14:textId="77777777" w:rsidR="00D76E1F" w:rsidRPr="007D6FC9" w:rsidRDefault="00D76E1F" w:rsidP="00D76E1F">
      <w:pPr>
        <w:tabs>
          <w:tab w:val="clear" w:pos="1247"/>
          <w:tab w:val="clear" w:pos="1814"/>
          <w:tab w:val="clear" w:pos="2381"/>
          <w:tab w:val="clear" w:pos="2948"/>
          <w:tab w:val="clear" w:pos="3515"/>
          <w:tab w:val="right" w:pos="851"/>
        </w:tabs>
        <w:spacing w:after="120"/>
        <w:ind w:left="1247" w:right="284" w:hanging="1247"/>
        <w:rPr>
          <w:b/>
          <w:bCs/>
          <w:sz w:val="24"/>
          <w:szCs w:val="24"/>
        </w:rPr>
      </w:pPr>
      <w:r w:rsidRPr="007D6FC9">
        <w:rPr>
          <w:b/>
          <w:bCs/>
          <w:sz w:val="24"/>
          <w:szCs w:val="24"/>
        </w:rPr>
        <w:tab/>
        <w:t>A.</w:t>
      </w:r>
      <w:r w:rsidRPr="007D6FC9">
        <w:rPr>
          <w:b/>
          <w:bCs/>
          <w:sz w:val="24"/>
          <w:szCs w:val="24"/>
        </w:rPr>
        <w:tab/>
        <w:t>Правление целевой международной программы (Правление ЦМП)</w:t>
      </w:r>
    </w:p>
    <w:p w14:paraId="4912BECB"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1.</w:t>
      </w:r>
      <w:r w:rsidRPr="00330A8B">
        <w:tab/>
        <w:t>Правление целевой международной программы (далее – «Правление ЦМП») состоит из 10 членов от Сторон. Каждым из пяти регионов Организации Объединенных Наций назначаются по два члена через их соответствующих представителей в Бюро</w:t>
      </w:r>
      <w:r w:rsidRPr="005C173A">
        <w:rPr>
          <w:vertAlign w:val="superscript"/>
        </w:rPr>
        <w:footnoteReference w:id="4"/>
      </w:r>
      <w:r w:rsidRPr="00330A8B">
        <w:t>.</w:t>
      </w:r>
    </w:p>
    <w:p w14:paraId="6F2E4164"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2.</w:t>
      </w:r>
      <w:r w:rsidRPr="00330A8B">
        <w:tab/>
        <w:t xml:space="preserve">Первые члены Правления ЦМП назначаются не позднее 31 декабря 2017 года и выполняют свои обязанности до третьего совещания Конференции Сторон </w:t>
      </w:r>
      <w:proofErr w:type="spellStart"/>
      <w:r w:rsidRPr="00330A8B">
        <w:t>Минаматской</w:t>
      </w:r>
      <w:proofErr w:type="spellEnd"/>
      <w:r w:rsidRPr="00330A8B">
        <w:t xml:space="preserve"> конвенции. После этого члены назначаются каждые два года региональными группами и их членство подтверждается Конференцией Сторон.</w:t>
      </w:r>
    </w:p>
    <w:p w14:paraId="5C8F9CC0"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lastRenderedPageBreak/>
        <w:t>3.</w:t>
      </w:r>
      <w:r w:rsidRPr="00330A8B">
        <w:tab/>
        <w:t>Проект правил процедуры Правления готовится секретариатом для рассмотрения и утверждения Правлением и представляется Конференции Сторон на ее втором совещании для ее сведения.</w:t>
      </w:r>
    </w:p>
    <w:p w14:paraId="0C7D62AC"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4.</w:t>
      </w:r>
      <w:r w:rsidRPr="00330A8B">
        <w:tab/>
        <w:t>Правление ЦМП имеет двух сопредседателей, избираемых из числа членов Правления, с учетом состава Правления и целей программы.</w:t>
      </w:r>
    </w:p>
    <w:p w14:paraId="413F09B2"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5.</w:t>
      </w:r>
      <w:r w:rsidRPr="00330A8B">
        <w:tab/>
        <w:t>Решения Правления ЦМП принимаются на основе консенсуса. Если исчерпаны все возможности для достижения консенсуса и согласие не было достигнуто, то решение принимается большинством в три четверти присутствующих и участвующих в голосовании членов.</w:t>
      </w:r>
    </w:p>
    <w:p w14:paraId="2A63C7C2"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6.</w:t>
      </w:r>
      <w:r w:rsidRPr="00330A8B">
        <w:tab/>
        <w:t xml:space="preserve">Заседания Правления ЦМП в принципе проводятся один раз в год для утверждения проектных заявок и анализа хода осуществления программы на основе докладов секретариата </w:t>
      </w:r>
      <w:proofErr w:type="spellStart"/>
      <w:r w:rsidRPr="00330A8B">
        <w:t>Минаматской</w:t>
      </w:r>
      <w:proofErr w:type="spellEnd"/>
      <w:r w:rsidRPr="00330A8B">
        <w:t xml:space="preserve"> конвенции, а также другой предоставленной соответствующей информации об осуществлении программы.</w:t>
      </w:r>
    </w:p>
    <w:p w14:paraId="50F32C00"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7.</w:t>
      </w:r>
      <w:r w:rsidRPr="00330A8B">
        <w:tab/>
        <w:t xml:space="preserve">Правлением ЦМП принимаются операционные решения, касающиеся функционирования целевой международной программы, включая утверждение заявок на предоставление финансирования на основании руководящих указаний Конференции Сторон, и одобряются, в соответствующих случаях, критерии и порядок подачи заявок, их рассмотрения, представления отчетности и оценки. </w:t>
      </w:r>
    </w:p>
    <w:p w14:paraId="1BEBE3A1"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8.</w:t>
      </w:r>
      <w:r w:rsidRPr="00330A8B">
        <w:tab/>
        <w:t>Секретариат рассматривает заявки для одобрения Правлением ЦМП, распоряжается утвержденными ассигнованиями и обеспечивает обслуживание Правления ЦМП. Секретариат представляет доклад о своей деятельности Правлению, а в административных и финансовых вопросах подотчетен Директору-исполнителю ЮНЕП. Секретариат представляет Правлению ежегодный доклад, который также представляется Конференции Сторон и включает соответствующую информацию об отклонении проектных предложений.</w:t>
      </w:r>
    </w:p>
    <w:p w14:paraId="438852FB" w14:textId="77777777" w:rsidR="00D76E1F" w:rsidRPr="007D6FC9" w:rsidRDefault="00D76E1F" w:rsidP="00D76E1F">
      <w:pPr>
        <w:tabs>
          <w:tab w:val="clear" w:pos="1247"/>
          <w:tab w:val="clear" w:pos="1814"/>
          <w:tab w:val="clear" w:pos="2381"/>
          <w:tab w:val="clear" w:pos="2948"/>
          <w:tab w:val="clear" w:pos="3515"/>
          <w:tab w:val="right" w:pos="851"/>
        </w:tabs>
        <w:spacing w:after="120"/>
        <w:ind w:left="1247" w:right="284" w:hanging="1247"/>
        <w:rPr>
          <w:b/>
          <w:bCs/>
          <w:sz w:val="24"/>
          <w:szCs w:val="24"/>
        </w:rPr>
      </w:pPr>
      <w:bookmarkStart w:id="6" w:name="_Hlk492026220"/>
      <w:r w:rsidRPr="007D6FC9">
        <w:rPr>
          <w:b/>
          <w:bCs/>
          <w:sz w:val="24"/>
          <w:szCs w:val="24"/>
        </w:rPr>
        <w:tab/>
        <w:t>B.</w:t>
      </w:r>
      <w:r w:rsidRPr="007D6FC9">
        <w:rPr>
          <w:b/>
          <w:bCs/>
          <w:sz w:val="24"/>
          <w:szCs w:val="24"/>
        </w:rPr>
        <w:tab/>
        <w:t>Процессы проверки, оценки и утверждения проектов</w:t>
      </w:r>
      <w:bookmarkEnd w:id="6"/>
    </w:p>
    <w:p w14:paraId="5FE44990"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9.</w:t>
      </w:r>
      <w:r w:rsidRPr="00330A8B">
        <w:tab/>
        <w:t xml:space="preserve">Секретариат </w:t>
      </w:r>
      <w:proofErr w:type="spellStart"/>
      <w:r w:rsidRPr="00330A8B">
        <w:t>Минаматской</w:t>
      </w:r>
      <w:proofErr w:type="spellEnd"/>
      <w:r w:rsidRPr="00330A8B">
        <w:t xml:space="preserve"> конвенции принимает заявки непосредственно от национальных правительств через их национальных координаторов.</w:t>
      </w:r>
    </w:p>
    <w:p w14:paraId="53E7061C"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10.</w:t>
      </w:r>
      <w:r w:rsidRPr="00330A8B">
        <w:tab/>
        <w:t>Техническая помощь в подготовке проектных заявок может оказываться всеми, кто имеет для этого возможность, по просьбе заявителей.</w:t>
      </w:r>
    </w:p>
    <w:p w14:paraId="60E2301E"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11.</w:t>
      </w:r>
      <w:r w:rsidRPr="00330A8B">
        <w:tab/>
        <w:t xml:space="preserve">Заявки проверяются секретариатом </w:t>
      </w:r>
      <w:proofErr w:type="spellStart"/>
      <w:r w:rsidRPr="00330A8B">
        <w:t>Минаматской</w:t>
      </w:r>
      <w:proofErr w:type="spellEnd"/>
      <w:r w:rsidRPr="00330A8B">
        <w:t xml:space="preserve"> конвенции на предмет целостности и правомочности. Секретариатом также проводится оценка (с участием соответствующих специалистов секретариата) заявок для рассмотрения и принятия решений Правлением ЦМП, в консультации с соответствующими международными правительственными организациями, при условии, что это не связано с расходами. </w:t>
      </w:r>
    </w:p>
    <w:p w14:paraId="605CE7D5" w14:textId="77777777" w:rsidR="00D76E1F" w:rsidRPr="007D6FC9" w:rsidRDefault="00D76E1F" w:rsidP="00D76E1F">
      <w:pPr>
        <w:tabs>
          <w:tab w:val="clear" w:pos="1247"/>
          <w:tab w:val="clear" w:pos="1814"/>
          <w:tab w:val="clear" w:pos="2381"/>
          <w:tab w:val="clear" w:pos="2948"/>
          <w:tab w:val="clear" w:pos="3515"/>
          <w:tab w:val="right" w:pos="851"/>
        </w:tabs>
        <w:spacing w:after="120"/>
        <w:ind w:left="1247" w:right="284" w:hanging="1247"/>
        <w:rPr>
          <w:b/>
          <w:bCs/>
          <w:sz w:val="24"/>
          <w:szCs w:val="24"/>
        </w:rPr>
      </w:pPr>
      <w:r w:rsidRPr="007D6FC9">
        <w:rPr>
          <w:b/>
          <w:bCs/>
          <w:sz w:val="24"/>
          <w:szCs w:val="24"/>
        </w:rPr>
        <w:tab/>
        <w:t>C.</w:t>
      </w:r>
      <w:r w:rsidRPr="007D6FC9">
        <w:rPr>
          <w:b/>
          <w:bCs/>
          <w:sz w:val="24"/>
          <w:szCs w:val="24"/>
        </w:rPr>
        <w:tab/>
        <w:t>Административная поддержка целевой международной программы</w:t>
      </w:r>
    </w:p>
    <w:p w14:paraId="6736B6A9"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12.</w:t>
      </w:r>
      <w:r w:rsidRPr="00330A8B">
        <w:tab/>
        <w:t>Секретариатом предоставляется одна должность для проводимых секретариатом мероприятий по оказанию технической помощи и созданию потенциала и деятельности целевой международной программы, обеспечиваемая за счет средств общего целевого фонда, с учетом того, что кадровые потребности целевой международной программы будут пересматриваться.</w:t>
      </w:r>
    </w:p>
    <w:p w14:paraId="390A5AE5"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13.</w:t>
      </w:r>
      <w:r w:rsidRPr="00330A8B">
        <w:tab/>
        <w:t>Расходы, связанные с функционированием целевой международной программы, включая расходы на проведение совещаний, покрываются за счет добровольных взносов на нужды программы.</w:t>
      </w:r>
    </w:p>
    <w:p w14:paraId="5D4DD370" w14:textId="77777777" w:rsidR="00D76E1F" w:rsidRPr="007D6FC9" w:rsidRDefault="00D76E1F" w:rsidP="00D76E1F">
      <w:pPr>
        <w:tabs>
          <w:tab w:val="clear" w:pos="1247"/>
          <w:tab w:val="clear" w:pos="1814"/>
          <w:tab w:val="clear" w:pos="2381"/>
          <w:tab w:val="clear" w:pos="2948"/>
          <w:tab w:val="clear" w:pos="3515"/>
          <w:tab w:val="right" w:pos="851"/>
        </w:tabs>
        <w:spacing w:after="120"/>
        <w:ind w:left="1247" w:right="284" w:hanging="1247"/>
        <w:rPr>
          <w:b/>
          <w:bCs/>
          <w:sz w:val="24"/>
          <w:szCs w:val="24"/>
        </w:rPr>
      </w:pPr>
      <w:bookmarkStart w:id="7" w:name="_Hlk492020060"/>
      <w:r w:rsidRPr="007D6FC9">
        <w:rPr>
          <w:b/>
          <w:bCs/>
          <w:sz w:val="24"/>
          <w:szCs w:val="24"/>
        </w:rPr>
        <w:tab/>
        <w:t>D.</w:t>
      </w:r>
      <w:r w:rsidRPr="007D6FC9">
        <w:rPr>
          <w:b/>
          <w:bCs/>
          <w:sz w:val="24"/>
          <w:szCs w:val="24"/>
        </w:rPr>
        <w:tab/>
        <w:t>Ожидаемые результаты</w:t>
      </w:r>
      <w:bookmarkEnd w:id="7"/>
    </w:p>
    <w:p w14:paraId="0DB55E23" w14:textId="77777777" w:rsidR="00D76E1F" w:rsidRPr="00330A8B" w:rsidRDefault="00D76E1F" w:rsidP="00D76E1F">
      <w:pPr>
        <w:tabs>
          <w:tab w:val="clear" w:pos="1247"/>
          <w:tab w:val="clear" w:pos="1814"/>
          <w:tab w:val="clear" w:pos="2381"/>
          <w:tab w:val="clear" w:pos="2948"/>
          <w:tab w:val="clear" w:pos="3515"/>
        </w:tabs>
        <w:spacing w:after="120"/>
        <w:ind w:left="1247"/>
      </w:pPr>
      <w:bookmarkStart w:id="8" w:name="_Hlk492020067"/>
      <w:r w:rsidRPr="00330A8B">
        <w:t>14.</w:t>
      </w:r>
      <w:r w:rsidRPr="00330A8B">
        <w:tab/>
        <w:t>Как ожидается, поддержка процессов создания потенциала и оказания технической помощи, предоставляемая целевой международной программой, позволит повысить потенциал Сторон, являющихся развивающимися странами, и Сторон, являющихся странами с переходной экономикой, в соблюдении ими своих обязательств, предусмотренных в Конвенции.</w:t>
      </w:r>
      <w:bookmarkEnd w:id="8"/>
    </w:p>
    <w:p w14:paraId="01E90E28" w14:textId="77777777" w:rsidR="00D76E1F" w:rsidRPr="007D6FC9" w:rsidRDefault="00D76E1F" w:rsidP="00D76E1F">
      <w:pPr>
        <w:tabs>
          <w:tab w:val="clear" w:pos="1247"/>
          <w:tab w:val="clear" w:pos="1814"/>
          <w:tab w:val="clear" w:pos="2381"/>
          <w:tab w:val="clear" w:pos="2948"/>
          <w:tab w:val="clear" w:pos="3515"/>
          <w:tab w:val="right" w:pos="851"/>
        </w:tabs>
        <w:spacing w:after="120"/>
        <w:ind w:left="1247" w:right="284" w:hanging="1247"/>
        <w:rPr>
          <w:b/>
          <w:bCs/>
          <w:sz w:val="24"/>
          <w:szCs w:val="24"/>
        </w:rPr>
      </w:pPr>
      <w:bookmarkStart w:id="9" w:name="_Hlk492028503"/>
      <w:r w:rsidRPr="007D6FC9">
        <w:rPr>
          <w:b/>
          <w:bCs/>
          <w:sz w:val="24"/>
          <w:szCs w:val="24"/>
        </w:rPr>
        <w:tab/>
        <w:t>E.</w:t>
      </w:r>
      <w:r w:rsidRPr="007D6FC9">
        <w:rPr>
          <w:b/>
          <w:bCs/>
          <w:sz w:val="24"/>
          <w:szCs w:val="24"/>
        </w:rPr>
        <w:tab/>
        <w:t>Отчетность и ревизия</w:t>
      </w:r>
      <w:bookmarkEnd w:id="9"/>
    </w:p>
    <w:p w14:paraId="64D0B2CD" w14:textId="77777777" w:rsidR="00D76E1F" w:rsidRPr="00330A8B" w:rsidRDefault="00D76E1F" w:rsidP="00D76E1F">
      <w:pPr>
        <w:tabs>
          <w:tab w:val="clear" w:pos="1247"/>
          <w:tab w:val="clear" w:pos="1814"/>
          <w:tab w:val="clear" w:pos="2381"/>
          <w:tab w:val="clear" w:pos="2948"/>
          <w:tab w:val="clear" w:pos="3515"/>
        </w:tabs>
        <w:spacing w:after="120"/>
        <w:ind w:left="1247"/>
      </w:pPr>
      <w:r w:rsidRPr="00330A8B">
        <w:t>15.</w:t>
      </w:r>
      <w:r w:rsidRPr="00330A8B">
        <w:tab/>
        <w:t xml:space="preserve">К отчетности и распоряжению финансовыми ресурсами целевой международной программы применяются процедуры внутренней и внешней ревизии, действующие в Организации Объединенных Наций. Финансовая отчетность целевой международной </w:t>
      </w:r>
      <w:r w:rsidRPr="00330A8B">
        <w:lastRenderedPageBreak/>
        <w:t xml:space="preserve">программы представляется Правлению ЦМП в течение трех месяцев после завершения финансового периода, а также рассматривается Конференцией Сторон </w:t>
      </w:r>
      <w:proofErr w:type="spellStart"/>
      <w:r w:rsidRPr="00330A8B">
        <w:t>Минаматской</w:t>
      </w:r>
      <w:proofErr w:type="spellEnd"/>
      <w:r w:rsidRPr="00330A8B">
        <w:t xml:space="preserve"> конвенции.</w:t>
      </w:r>
    </w:p>
    <w:p w14:paraId="7A425BC3" w14:textId="3E1031B5" w:rsidR="009027BB" w:rsidRPr="001A5F0F" w:rsidRDefault="009027BB" w:rsidP="00D76E1F">
      <w:pPr>
        <w:keepNext/>
        <w:tabs>
          <w:tab w:val="clear" w:pos="1247"/>
          <w:tab w:val="clear" w:pos="1814"/>
          <w:tab w:val="clear" w:pos="2381"/>
          <w:tab w:val="clear" w:pos="2948"/>
          <w:tab w:val="clear" w:pos="3515"/>
        </w:tabs>
        <w:spacing w:after="120"/>
        <w:ind w:left="1247"/>
        <w:outlineLvl w:val="0"/>
        <w:rPr>
          <w:b/>
          <w:sz w:val="22"/>
          <w:szCs w:val="22"/>
        </w:rPr>
      </w:pPr>
    </w:p>
    <w:sectPr w:rsidR="009027BB" w:rsidRPr="001A5F0F"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D986" w14:textId="77777777" w:rsidR="006259CC" w:rsidRDefault="006259CC">
      <w:r>
        <w:separator/>
      </w:r>
    </w:p>
  </w:endnote>
  <w:endnote w:type="continuationSeparator" w:id="0">
    <w:p w14:paraId="0AFD39D2" w14:textId="77777777" w:rsidR="006259CC" w:rsidRDefault="0062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98BB" w14:textId="77777777" w:rsidR="006259CC" w:rsidRDefault="006259CC" w:rsidP="00851756">
      <w:pPr>
        <w:spacing w:before="60"/>
        <w:ind w:left="624"/>
      </w:pPr>
      <w:r>
        <w:separator/>
      </w:r>
    </w:p>
  </w:footnote>
  <w:footnote w:type="continuationSeparator" w:id="0">
    <w:p w14:paraId="369F4882" w14:textId="77777777" w:rsidR="006259CC" w:rsidRDefault="006259CC">
      <w:r>
        <w:continuationSeparator/>
      </w:r>
    </w:p>
  </w:footnote>
  <w:footnote w:id="1">
    <w:p w14:paraId="35684B00" w14:textId="77777777" w:rsidR="00D76E1F" w:rsidRPr="007D6FC9" w:rsidRDefault="00D76E1F" w:rsidP="00D76E1F">
      <w:pPr>
        <w:pStyle w:val="FootnoteText"/>
        <w:tabs>
          <w:tab w:val="clear" w:pos="1247"/>
          <w:tab w:val="clear" w:pos="1814"/>
          <w:tab w:val="clear" w:pos="2381"/>
          <w:tab w:val="clear" w:pos="2948"/>
          <w:tab w:val="clear" w:pos="3515"/>
          <w:tab w:val="clear" w:pos="4082"/>
        </w:tabs>
        <w:rPr>
          <w:szCs w:val="18"/>
        </w:rPr>
      </w:pPr>
      <w:r w:rsidRPr="007D6FC9">
        <w:rPr>
          <w:rStyle w:val="FootnoteReference"/>
          <w:sz w:val="18"/>
        </w:rPr>
        <w:t>*</w:t>
      </w:r>
      <w:r w:rsidRPr="007D6FC9">
        <w:rPr>
          <w:szCs w:val="18"/>
        </w:rPr>
        <w:tab/>
        <w:t>Данное приложение официально не редактировалось.</w:t>
      </w:r>
    </w:p>
  </w:footnote>
  <w:footnote w:id="2">
    <w:p w14:paraId="7D121863" w14:textId="77777777" w:rsidR="00D76E1F" w:rsidRPr="007D6FC9" w:rsidRDefault="00D76E1F" w:rsidP="00D76E1F">
      <w:pPr>
        <w:pStyle w:val="FootnoteText"/>
        <w:tabs>
          <w:tab w:val="clear" w:pos="1247"/>
          <w:tab w:val="clear" w:pos="1814"/>
          <w:tab w:val="clear" w:pos="2381"/>
          <w:tab w:val="clear" w:pos="2948"/>
          <w:tab w:val="clear" w:pos="3515"/>
          <w:tab w:val="clear" w:pos="4082"/>
        </w:tabs>
        <w:rPr>
          <w:szCs w:val="18"/>
        </w:rPr>
      </w:pPr>
      <w:r w:rsidRPr="007D6FC9">
        <w:rPr>
          <w:rStyle w:val="FootnoteReference"/>
          <w:sz w:val="18"/>
        </w:rPr>
        <w:footnoteRef/>
      </w:r>
      <w:r w:rsidRPr="007D6FC9">
        <w:rPr>
          <w:szCs w:val="18"/>
        </w:rPr>
        <w:tab/>
        <w:t xml:space="preserve">Это положение не предопределяет решения о принимающей стороне для секретариата </w:t>
      </w:r>
      <w:proofErr w:type="spellStart"/>
      <w:r w:rsidRPr="007D6FC9">
        <w:rPr>
          <w:szCs w:val="18"/>
        </w:rPr>
        <w:t>Минаматской</w:t>
      </w:r>
      <w:proofErr w:type="spellEnd"/>
      <w:r w:rsidRPr="007D6FC9">
        <w:rPr>
          <w:szCs w:val="18"/>
        </w:rPr>
        <w:t xml:space="preserve"> конвенции.</w:t>
      </w:r>
    </w:p>
  </w:footnote>
  <w:footnote w:id="3">
    <w:p w14:paraId="3A3E828E" w14:textId="77777777" w:rsidR="00D76E1F" w:rsidRPr="007D6FC9" w:rsidRDefault="00D76E1F" w:rsidP="00D76E1F">
      <w:pPr>
        <w:pStyle w:val="FootnoteText"/>
        <w:tabs>
          <w:tab w:val="clear" w:pos="1247"/>
          <w:tab w:val="clear" w:pos="1814"/>
          <w:tab w:val="clear" w:pos="2381"/>
          <w:tab w:val="clear" w:pos="2948"/>
          <w:tab w:val="clear" w:pos="3515"/>
          <w:tab w:val="clear" w:pos="4082"/>
        </w:tabs>
        <w:rPr>
          <w:szCs w:val="18"/>
        </w:rPr>
      </w:pPr>
      <w:r w:rsidRPr="007D6FC9">
        <w:rPr>
          <w:rStyle w:val="FootnoteReference"/>
          <w:sz w:val="18"/>
        </w:rPr>
        <w:footnoteRef/>
      </w:r>
      <w:r w:rsidRPr="007D6FC9">
        <w:rPr>
          <w:szCs w:val="18"/>
        </w:rPr>
        <w:tab/>
        <w:t>Окончательно согласовано на втором совещании Конференции Сторон.</w:t>
      </w:r>
    </w:p>
  </w:footnote>
  <w:footnote w:id="4">
    <w:p w14:paraId="0B234D58" w14:textId="77777777" w:rsidR="00D76E1F" w:rsidRPr="009E071E" w:rsidRDefault="00D76E1F" w:rsidP="00D76E1F">
      <w:pPr>
        <w:pStyle w:val="FootnoteText"/>
      </w:pPr>
      <w:r>
        <w:rPr>
          <w:rStyle w:val="FootnoteReference"/>
        </w:rPr>
        <w:footnoteRef/>
      </w:r>
      <w:r w:rsidRPr="009E071E">
        <w:t xml:space="preserve"> </w:t>
      </w:r>
      <w:r w:rsidRPr="009E071E">
        <w:tab/>
      </w:r>
      <w:r>
        <w:t>Окончательно согласовано на втором совещании Конференции Сторон</w:t>
      </w:r>
      <w:r w:rsidRPr="009E071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7CE3219D" w:rsidR="00503842" w:rsidRPr="00942112" w:rsidRDefault="00503842" w:rsidP="000A2D09">
    <w:pPr>
      <w:pStyle w:val="Header"/>
      <w:tabs>
        <w:tab w:val="clear" w:pos="1247"/>
        <w:tab w:val="clear" w:pos="4536"/>
        <w:tab w:val="clear" w:pos="9072"/>
      </w:tabs>
      <w:rPr>
        <w:szCs w:val="18"/>
        <w:lang w:val="en-US"/>
      </w:rPr>
    </w:pPr>
    <w:r>
      <w:rPr>
        <w:lang w:val="en-US"/>
      </w:rPr>
      <w:t>UNEP/MC/COP.</w:t>
    </w:r>
    <w:r w:rsidR="001254BF">
      <w:rPr>
        <w:lang w:val="en-US"/>
      </w:rPr>
      <w:t>1</w:t>
    </w:r>
    <w:r>
      <w:rPr>
        <w:lang w:val="en-US"/>
      </w:rPr>
      <w:t>/</w:t>
    </w:r>
    <w:r w:rsidR="00801B64">
      <w:rPr>
        <w:lang w:val="en-US"/>
      </w:rPr>
      <w:t>Dec.</w:t>
    </w:r>
    <w:r w:rsidR="001254BF">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0F1EB87A"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F55458">
      <w:rPr>
        <w:lang w:val="en-US"/>
      </w:rPr>
      <w:t>1</w:t>
    </w:r>
    <w:r>
      <w:rPr>
        <w:lang w:val="en-US"/>
      </w:rPr>
      <w:t>/</w:t>
    </w:r>
    <w:r w:rsidR="00801B64">
      <w:rPr>
        <w:lang w:val="en-US"/>
      </w:rPr>
      <w:t>Dec.</w:t>
    </w:r>
    <w:r w:rsidR="001254BF">
      <w:rPr>
        <w:lang w:val="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54BF"/>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6808"/>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3DE9"/>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D6C7B"/>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59CC"/>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7581"/>
    <w:rsid w:val="00C6769E"/>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6E1F"/>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582A"/>
    <w:rsid w:val="00E06797"/>
    <w:rsid w:val="00E1265B"/>
    <w:rsid w:val="00E13B48"/>
    <w:rsid w:val="00E1404F"/>
    <w:rsid w:val="00E2042D"/>
    <w:rsid w:val="00E2142C"/>
    <w:rsid w:val="00E21C83"/>
    <w:rsid w:val="00E24ADA"/>
    <w:rsid w:val="00E32F59"/>
    <w:rsid w:val="00E35AFA"/>
    <w:rsid w:val="00E41908"/>
    <w:rsid w:val="00E46D9A"/>
    <w:rsid w:val="00E540D8"/>
    <w:rsid w:val="00E565FF"/>
    <w:rsid w:val="00E62E4D"/>
    <w:rsid w:val="00E65388"/>
    <w:rsid w:val="00E662CB"/>
    <w:rsid w:val="00E71382"/>
    <w:rsid w:val="00E74C25"/>
    <w:rsid w:val="00E75318"/>
    <w:rsid w:val="00E76752"/>
    <w:rsid w:val="00E7741D"/>
    <w:rsid w:val="00E808CD"/>
    <w:rsid w:val="00E82928"/>
    <w:rsid w:val="00E8348F"/>
    <w:rsid w:val="00E85B7D"/>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67426"/>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D76E1F"/>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5066658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1612085348">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A895C-EF77-4E5C-AE08-B239BA45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1510</Words>
  <Characters>11113</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7</cp:revision>
  <cp:lastPrinted>2020-11-09T11:37:00Z</cp:lastPrinted>
  <dcterms:created xsi:type="dcterms:W3CDTF">2020-11-06T09:48:00Z</dcterms:created>
  <dcterms:modified xsi:type="dcterms:W3CDTF">2020-12-10T08:35:00Z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