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8"/>
        <w:gridCol w:w="4643"/>
        <w:gridCol w:w="3335"/>
      </w:tblGrid>
      <w:tr w:rsidR="00032E4E" w:rsidRPr="008E4D6C" w14:paraId="4B9F0F9B" w14:textId="77777777" w:rsidTr="00E976AB">
        <w:trPr>
          <w:cantSplit/>
          <w:trHeight w:val="850"/>
          <w:jc w:val="right"/>
        </w:trPr>
        <w:tc>
          <w:tcPr>
            <w:tcW w:w="1560" w:type="dxa"/>
          </w:tcPr>
          <w:p w14:paraId="2A9B9F9D" w14:textId="5D52BB23" w:rsidR="00032E4E" w:rsidRPr="008E4D6C" w:rsidRDefault="00032E4E" w:rsidP="00023DA9">
            <w:pPr>
              <w:rPr>
                <w:rFonts w:ascii="Univers" w:hAnsi="Univers"/>
                <w:b/>
                <w:sz w:val="27"/>
                <w:szCs w:val="27"/>
              </w:rPr>
            </w:pPr>
            <w:r w:rsidRPr="008E4D6C">
              <w:rPr>
                <w:rFonts w:ascii="Arial" w:hAnsi="Arial" w:cs="Arial"/>
                <w:b/>
                <w:sz w:val="27"/>
                <w:szCs w:val="27"/>
              </w:rPr>
              <w:t>NATIONS</w:t>
            </w:r>
            <w:r w:rsidR="00FD27BC" w:rsidRPr="008E4D6C">
              <w:rPr>
                <w:rFonts w:ascii="Arial" w:hAnsi="Arial" w:cs="Arial"/>
                <w:b/>
                <w:sz w:val="27"/>
                <w:szCs w:val="27"/>
              </w:rPr>
              <w:br/>
              <w:t>UNIES</w:t>
            </w:r>
          </w:p>
        </w:tc>
        <w:tc>
          <w:tcPr>
            <w:tcW w:w="4785" w:type="dxa"/>
          </w:tcPr>
          <w:p w14:paraId="2F47229A" w14:textId="77777777" w:rsidR="00032E4E" w:rsidRPr="008E4D6C" w:rsidRDefault="00032E4E" w:rsidP="00023DA9">
            <w:pPr>
              <w:rPr>
                <w:rFonts w:ascii="Univers" w:hAnsi="Univers"/>
                <w:b/>
                <w:sz w:val="27"/>
                <w:szCs w:val="27"/>
              </w:rPr>
            </w:pPr>
          </w:p>
        </w:tc>
        <w:tc>
          <w:tcPr>
            <w:tcW w:w="3435" w:type="dxa"/>
          </w:tcPr>
          <w:p w14:paraId="57073C3F" w14:textId="77777777" w:rsidR="00032E4E" w:rsidRPr="008E4D6C" w:rsidRDefault="00787688" w:rsidP="00023DA9">
            <w:pPr>
              <w:jc w:val="right"/>
              <w:rPr>
                <w:rFonts w:ascii="Arial" w:hAnsi="Arial" w:cs="Arial"/>
                <w:b/>
                <w:sz w:val="64"/>
                <w:szCs w:val="64"/>
              </w:rPr>
            </w:pPr>
            <w:r w:rsidRPr="008E4D6C">
              <w:rPr>
                <w:rFonts w:ascii="Arial" w:hAnsi="Arial" w:cs="Arial"/>
                <w:b/>
                <w:sz w:val="64"/>
                <w:szCs w:val="64"/>
              </w:rPr>
              <w:t>MC</w:t>
            </w:r>
          </w:p>
        </w:tc>
      </w:tr>
      <w:tr w:rsidR="00032E4E" w:rsidRPr="008E4D6C" w14:paraId="0DEAC680" w14:textId="77777777" w:rsidTr="00E976AB">
        <w:trPr>
          <w:cantSplit/>
          <w:trHeight w:val="281"/>
          <w:jc w:val="right"/>
        </w:trPr>
        <w:tc>
          <w:tcPr>
            <w:tcW w:w="1560" w:type="dxa"/>
            <w:tcBorders>
              <w:bottom w:val="single" w:sz="4" w:space="0" w:color="auto"/>
            </w:tcBorders>
          </w:tcPr>
          <w:p w14:paraId="30269B88" w14:textId="77777777" w:rsidR="00032E4E" w:rsidRPr="008E4D6C" w:rsidRDefault="00032E4E" w:rsidP="00023DA9">
            <w:pPr>
              <w:rPr>
                <w:sz w:val="18"/>
                <w:szCs w:val="18"/>
              </w:rPr>
            </w:pPr>
          </w:p>
        </w:tc>
        <w:tc>
          <w:tcPr>
            <w:tcW w:w="4785" w:type="dxa"/>
            <w:tcBorders>
              <w:bottom w:val="single" w:sz="4" w:space="0" w:color="auto"/>
            </w:tcBorders>
          </w:tcPr>
          <w:p w14:paraId="54296B4D" w14:textId="77777777" w:rsidR="00032E4E" w:rsidRPr="008E4D6C" w:rsidRDefault="00032E4E" w:rsidP="00023DA9">
            <w:pPr>
              <w:rPr>
                <w:rFonts w:ascii="Univers" w:hAnsi="Univers"/>
                <w:b/>
                <w:sz w:val="18"/>
                <w:szCs w:val="18"/>
              </w:rPr>
            </w:pPr>
          </w:p>
        </w:tc>
        <w:tc>
          <w:tcPr>
            <w:tcW w:w="3435" w:type="dxa"/>
            <w:tcBorders>
              <w:bottom w:val="single" w:sz="4" w:space="0" w:color="auto"/>
            </w:tcBorders>
          </w:tcPr>
          <w:p w14:paraId="540639F8" w14:textId="76B6ED52" w:rsidR="00032E4E" w:rsidRPr="008E4D6C" w:rsidRDefault="00032E4E" w:rsidP="00787688">
            <w:pPr>
              <w:rPr>
                <w:sz w:val="18"/>
                <w:szCs w:val="18"/>
              </w:rPr>
            </w:pPr>
            <w:r w:rsidRPr="008E4D6C">
              <w:rPr>
                <w:b/>
                <w:bCs/>
                <w:sz w:val="28"/>
              </w:rPr>
              <w:t>UNEP</w:t>
            </w:r>
            <w:bookmarkStart w:id="0" w:name="OLE_LINK1"/>
            <w:bookmarkStart w:id="1" w:name="OLE_LINK2"/>
            <w:r w:rsidR="00787688" w:rsidRPr="008E4D6C">
              <w:rPr>
                <w:b/>
                <w:bCs/>
                <w:sz w:val="28"/>
              </w:rPr>
              <w:t>/</w:t>
            </w:r>
            <w:r w:rsidR="00787688" w:rsidRPr="008E4D6C">
              <w:t>MC</w:t>
            </w:r>
            <w:r w:rsidRPr="008E4D6C">
              <w:t>/</w:t>
            </w:r>
            <w:bookmarkEnd w:id="0"/>
            <w:bookmarkEnd w:id="1"/>
            <w:r w:rsidR="00787688" w:rsidRPr="008E4D6C">
              <w:t>COP.1</w:t>
            </w:r>
            <w:r w:rsidRPr="008E4D6C">
              <w:t>/</w:t>
            </w:r>
            <w:r w:rsidR="007A60C5">
              <w:t>Dec.</w:t>
            </w:r>
            <w:r w:rsidR="00A247E2">
              <w:t>5</w:t>
            </w:r>
          </w:p>
        </w:tc>
      </w:tr>
      <w:bookmarkStart w:id="2" w:name="_MON_1021710482"/>
      <w:bookmarkEnd w:id="2"/>
      <w:bookmarkStart w:id="3" w:name="_MON_1021710510"/>
      <w:bookmarkEnd w:id="3"/>
      <w:tr w:rsidR="00032E4E" w:rsidRPr="008E4D6C" w14:paraId="34AA74B4" w14:textId="77777777" w:rsidTr="00E976AB">
        <w:trPr>
          <w:cantSplit/>
          <w:trHeight w:val="2549"/>
          <w:jc w:val="right"/>
        </w:trPr>
        <w:tc>
          <w:tcPr>
            <w:tcW w:w="1560" w:type="dxa"/>
            <w:tcBorders>
              <w:top w:val="single" w:sz="4" w:space="0" w:color="auto"/>
              <w:bottom w:val="single" w:sz="24" w:space="0" w:color="auto"/>
            </w:tcBorders>
          </w:tcPr>
          <w:p w14:paraId="02CDC318" w14:textId="77777777" w:rsidR="00032E4E" w:rsidRPr="008E4D6C" w:rsidRDefault="00032E4E" w:rsidP="00023DA9">
            <w:r w:rsidRPr="008E4D6C">
              <w:object w:dxaOrig="1831" w:dyaOrig="1726" w14:anchorId="6EBECB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61.1pt" o:ole="" fillcolor="window">
                  <v:imagedata r:id="rId11" o:title=""/>
                </v:shape>
                <o:OLEObject Type="Embed" ProgID="Word.Picture.8" ShapeID="_x0000_i1025" DrawAspect="Content" ObjectID="_1666432494" r:id="rId12"/>
              </w:object>
            </w:r>
            <w:r w:rsidR="00011A16" w:rsidRPr="008E4D6C">
              <w:rPr>
                <w:noProof/>
                <w:lang w:val="en-GB" w:eastAsia="en-GB"/>
              </w:rPr>
              <w:drawing>
                <wp:inline distT="0" distB="0" distL="0" distR="0" wp14:anchorId="288416B8" wp14:editId="6E686762">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85" w:type="dxa"/>
            <w:tcBorders>
              <w:top w:val="single" w:sz="4" w:space="0" w:color="auto"/>
              <w:bottom w:val="single" w:sz="24" w:space="0" w:color="auto"/>
            </w:tcBorders>
          </w:tcPr>
          <w:p w14:paraId="2AC211BD" w14:textId="13D00ED4" w:rsidR="00032E4E" w:rsidRPr="008E4D6C" w:rsidRDefault="00032E4E" w:rsidP="00023DA9">
            <w:pPr>
              <w:spacing w:before="1200"/>
              <w:rPr>
                <w:rFonts w:ascii="Arial" w:hAnsi="Arial" w:cs="Arial"/>
                <w:b/>
                <w:sz w:val="28"/>
              </w:rPr>
            </w:pPr>
            <w:r w:rsidRPr="008E4D6C">
              <w:rPr>
                <w:rFonts w:ascii="Arial" w:hAnsi="Arial" w:cs="Arial"/>
                <w:b/>
                <w:sz w:val="32"/>
                <w:szCs w:val="32"/>
              </w:rPr>
              <w:t>Programme</w:t>
            </w:r>
            <w:r w:rsidR="00FD27BC" w:rsidRPr="008E4D6C">
              <w:rPr>
                <w:rFonts w:ascii="Arial" w:hAnsi="Arial" w:cs="Arial"/>
                <w:b/>
                <w:sz w:val="32"/>
                <w:szCs w:val="32"/>
              </w:rPr>
              <w:br/>
              <w:t>des Nations Unies</w:t>
            </w:r>
            <w:r w:rsidR="00FD27BC" w:rsidRPr="008E4D6C">
              <w:rPr>
                <w:rFonts w:ascii="Arial" w:hAnsi="Arial" w:cs="Arial"/>
                <w:b/>
                <w:sz w:val="32"/>
                <w:szCs w:val="32"/>
              </w:rPr>
              <w:br/>
              <w:t>pour l</w:t>
            </w:r>
            <w:r w:rsidR="004618B1" w:rsidRPr="008E4D6C">
              <w:rPr>
                <w:rFonts w:ascii="Arial" w:hAnsi="Arial" w:cs="Arial"/>
                <w:b/>
                <w:sz w:val="32"/>
                <w:szCs w:val="32"/>
              </w:rPr>
              <w:t>’</w:t>
            </w:r>
            <w:r w:rsidR="00FD27BC" w:rsidRPr="008E4D6C">
              <w:rPr>
                <w:rFonts w:ascii="Arial" w:hAnsi="Arial" w:cs="Arial"/>
                <w:b/>
                <w:sz w:val="32"/>
                <w:szCs w:val="32"/>
              </w:rPr>
              <w:t>environnement</w:t>
            </w:r>
          </w:p>
        </w:tc>
        <w:tc>
          <w:tcPr>
            <w:tcW w:w="3435" w:type="dxa"/>
            <w:tcBorders>
              <w:top w:val="single" w:sz="4" w:space="0" w:color="auto"/>
              <w:bottom w:val="single" w:sz="24" w:space="0" w:color="auto"/>
            </w:tcBorders>
          </w:tcPr>
          <w:p w14:paraId="722F44F8" w14:textId="6D731999" w:rsidR="00032E4E" w:rsidRPr="008E4D6C" w:rsidRDefault="00FD27BC" w:rsidP="00787688">
            <w:pPr>
              <w:spacing w:before="120"/>
            </w:pPr>
            <w:proofErr w:type="spellStart"/>
            <w:r w:rsidRPr="008E4D6C">
              <w:t>Distr</w:t>
            </w:r>
            <w:proofErr w:type="spellEnd"/>
            <w:r w:rsidRPr="008E4D6C">
              <w:t>.</w:t>
            </w:r>
            <w:r w:rsidR="005A3438" w:rsidRPr="008E4D6C">
              <w:t> </w:t>
            </w:r>
            <w:r w:rsidR="005B5674" w:rsidRPr="008E4D6C">
              <w:t>général</w:t>
            </w:r>
            <w:r w:rsidR="001E3AA2" w:rsidRPr="008E4D6C">
              <w:t>e</w:t>
            </w:r>
            <w:r w:rsidR="009F4431" w:rsidRPr="008E4D6C">
              <w:t xml:space="preserve"> </w:t>
            </w:r>
            <w:r w:rsidR="009F4431" w:rsidRPr="008E4D6C">
              <w:br/>
            </w:r>
            <w:r w:rsidR="009F5613" w:rsidRPr="008E4D6C">
              <w:t>2</w:t>
            </w:r>
            <w:r w:rsidR="002B6354" w:rsidRPr="008E4D6C">
              <w:t>2 novembre</w:t>
            </w:r>
            <w:r w:rsidRPr="008E4D6C">
              <w:t xml:space="preserve"> </w:t>
            </w:r>
            <w:r w:rsidR="0042266F" w:rsidRPr="008E4D6C">
              <w:t>2017</w:t>
            </w:r>
          </w:p>
          <w:p w14:paraId="1A75CF9D" w14:textId="4D17F679" w:rsidR="00032E4E" w:rsidRPr="008E4D6C" w:rsidRDefault="00FD27BC" w:rsidP="00FD27BC">
            <w:pPr>
              <w:spacing w:before="240"/>
            </w:pPr>
            <w:r w:rsidRPr="008E4D6C">
              <w:t>Français</w:t>
            </w:r>
            <w:r w:rsidRPr="008E4D6C">
              <w:br/>
            </w:r>
            <w:r w:rsidR="00032E4E" w:rsidRPr="008E4D6C">
              <w:t>Original</w:t>
            </w:r>
            <w:r w:rsidR="00A84383" w:rsidRPr="008E4D6C">
              <w:t> :</w:t>
            </w:r>
            <w:r w:rsidRPr="008E4D6C">
              <w:t xml:space="preserve"> anglais</w:t>
            </w:r>
          </w:p>
        </w:tc>
      </w:tr>
    </w:tbl>
    <w:p w14:paraId="0A4BFFDA" w14:textId="5169E9DF" w:rsidR="00E976AB" w:rsidRPr="008E4D6C" w:rsidRDefault="00FD27BC" w:rsidP="00E30EAC">
      <w:pPr>
        <w:pStyle w:val="Normal-pool"/>
        <w:rPr>
          <w:b/>
          <w:lang w:val="fr-FR"/>
        </w:rPr>
      </w:pPr>
      <w:r w:rsidRPr="008E4D6C">
        <w:rPr>
          <w:b/>
          <w:lang w:val="fr-FR"/>
        </w:rPr>
        <w:t>C</w:t>
      </w:r>
      <w:r w:rsidR="00921098" w:rsidRPr="008E4D6C">
        <w:rPr>
          <w:b/>
          <w:lang w:val="fr-FR"/>
        </w:rPr>
        <w:t xml:space="preserve">onférence des Parties </w:t>
      </w:r>
      <w:r w:rsidR="00292693" w:rsidRPr="008E4D6C">
        <w:rPr>
          <w:b/>
          <w:lang w:val="fr-FR"/>
        </w:rPr>
        <w:br/>
      </w:r>
      <w:r w:rsidR="00921098" w:rsidRPr="008E4D6C">
        <w:rPr>
          <w:b/>
          <w:lang w:val="fr-FR"/>
        </w:rPr>
        <w:t>à la C</w:t>
      </w:r>
      <w:r w:rsidRPr="008E4D6C">
        <w:rPr>
          <w:b/>
          <w:lang w:val="fr-FR"/>
        </w:rPr>
        <w:t xml:space="preserve">onvention de </w:t>
      </w:r>
      <w:r w:rsidR="00787688" w:rsidRPr="008E4D6C">
        <w:rPr>
          <w:b/>
          <w:lang w:val="fr-FR"/>
        </w:rPr>
        <w:t xml:space="preserve">Minamata </w:t>
      </w:r>
      <w:r w:rsidRPr="008E4D6C">
        <w:rPr>
          <w:b/>
          <w:lang w:val="fr-FR"/>
        </w:rPr>
        <w:t>sur le mercure</w:t>
      </w:r>
    </w:p>
    <w:p w14:paraId="26A6CAA0" w14:textId="7102D31E" w:rsidR="00E976AB" w:rsidRPr="008E4D6C" w:rsidRDefault="00FD27BC" w:rsidP="00E30EAC">
      <w:pPr>
        <w:pStyle w:val="Normal-pool"/>
        <w:rPr>
          <w:b/>
          <w:lang w:val="fr-FR"/>
        </w:rPr>
      </w:pPr>
      <w:r w:rsidRPr="008E4D6C">
        <w:rPr>
          <w:b/>
          <w:lang w:val="fr-FR"/>
        </w:rPr>
        <w:t>Première réunion</w:t>
      </w:r>
    </w:p>
    <w:p w14:paraId="67B82F12" w14:textId="4F5EEE18" w:rsidR="00787688" w:rsidRPr="008E4D6C" w:rsidRDefault="00FD27BC" w:rsidP="00E30EAC">
      <w:pPr>
        <w:pStyle w:val="Normal-pool"/>
        <w:rPr>
          <w:b/>
          <w:lang w:val="fr-FR"/>
        </w:rPr>
      </w:pPr>
      <w:r w:rsidRPr="008E4D6C">
        <w:rPr>
          <w:lang w:val="fr-FR"/>
        </w:rPr>
        <w:t>Genève</w:t>
      </w:r>
      <w:r w:rsidR="00E976AB" w:rsidRPr="008E4D6C">
        <w:rPr>
          <w:lang w:val="fr-FR"/>
        </w:rPr>
        <w:t xml:space="preserve">, </w:t>
      </w:r>
      <w:r w:rsidRPr="008E4D6C">
        <w:rPr>
          <w:lang w:val="fr-FR"/>
        </w:rPr>
        <w:t>24–29 septembre</w:t>
      </w:r>
      <w:r w:rsidR="00325D38" w:rsidRPr="008E4D6C">
        <w:rPr>
          <w:lang w:val="fr-FR"/>
        </w:rPr>
        <w:t xml:space="preserve"> </w:t>
      </w:r>
      <w:r w:rsidR="00787688" w:rsidRPr="008E4D6C">
        <w:rPr>
          <w:lang w:val="fr-FR"/>
        </w:rPr>
        <w:t>2017</w:t>
      </w:r>
    </w:p>
    <w:p w14:paraId="29516043" w14:textId="54BFC16E" w:rsidR="002907D8" w:rsidRPr="008E4D6C" w:rsidRDefault="00B42858" w:rsidP="002907D8">
      <w:pPr>
        <w:pStyle w:val="CH1"/>
      </w:pPr>
      <w:r w:rsidRPr="008E4D6C">
        <w:rPr>
          <w:lang w:val="fr-FR"/>
        </w:rPr>
        <w:tab/>
      </w:r>
      <w:r w:rsidRPr="008E4D6C">
        <w:rPr>
          <w:lang w:val="fr-FR"/>
        </w:rPr>
        <w:tab/>
      </w:r>
      <w:r w:rsidR="00ED1F5F">
        <w:t>Décision adoptée par la première Conférence des Parties à la Convention de Minamata sur le mercure</w:t>
      </w:r>
      <w:bookmarkStart w:id="4" w:name="_GoBack"/>
      <w:bookmarkEnd w:id="4"/>
    </w:p>
    <w:p w14:paraId="72390D5C" w14:textId="77777777" w:rsidR="00A247E2" w:rsidRPr="008E4D6C" w:rsidRDefault="00A247E2" w:rsidP="00A247E2">
      <w:pPr>
        <w:pStyle w:val="ZZAnxtitle"/>
        <w:outlineLvl w:val="0"/>
        <w:rPr>
          <w:sz w:val="24"/>
          <w:szCs w:val="24"/>
          <w:lang w:val="fr-FR"/>
        </w:rPr>
      </w:pPr>
      <w:bookmarkStart w:id="5" w:name="_Toc504974154"/>
      <w:bookmarkStart w:id="6" w:name="_Toc504918979"/>
      <w:r w:rsidRPr="008E4D6C">
        <w:rPr>
          <w:sz w:val="24"/>
          <w:szCs w:val="24"/>
          <w:lang w:val="fr-FR"/>
        </w:rPr>
        <w:t>MC-1/5 : Orientations à l’intention du Fonds pour l’environnement mondial</w:t>
      </w:r>
      <w:bookmarkEnd w:id="5"/>
      <w:bookmarkEnd w:id="6"/>
    </w:p>
    <w:p w14:paraId="11C283C0" w14:textId="77777777" w:rsidR="00A247E2" w:rsidRPr="008E4D6C" w:rsidRDefault="00A247E2" w:rsidP="00A247E2">
      <w:pPr>
        <w:pStyle w:val="NormalNonumber"/>
        <w:tabs>
          <w:tab w:val="left" w:pos="624"/>
        </w:tabs>
        <w:ind w:firstLine="624"/>
        <w:rPr>
          <w:i/>
          <w:iCs/>
          <w:lang w:val="fr-FR"/>
        </w:rPr>
      </w:pPr>
      <w:r w:rsidRPr="008E4D6C">
        <w:rPr>
          <w:i/>
          <w:iCs/>
          <w:lang w:val="fr-FR"/>
        </w:rPr>
        <w:t>La Conférence des Parties</w:t>
      </w:r>
    </w:p>
    <w:p w14:paraId="6E452401" w14:textId="77777777" w:rsidR="00A247E2" w:rsidRPr="008E4D6C" w:rsidRDefault="00A247E2" w:rsidP="00A247E2">
      <w:pPr>
        <w:pStyle w:val="Normalnumber"/>
        <w:numPr>
          <w:ilvl w:val="0"/>
          <w:numId w:val="6"/>
        </w:numPr>
        <w:tabs>
          <w:tab w:val="left" w:pos="624"/>
        </w:tabs>
        <w:ind w:left="1276" w:firstLine="567"/>
      </w:pPr>
      <w:r w:rsidRPr="008E4D6C">
        <w:rPr>
          <w:i/>
          <w:iCs/>
        </w:rPr>
        <w:t xml:space="preserve">Adopte </w:t>
      </w:r>
      <w:r w:rsidRPr="008E4D6C">
        <w:t xml:space="preserve">les orientations à l’intention du Fonds pour </w:t>
      </w:r>
      <w:r w:rsidRPr="008E4D6C">
        <w:rPr>
          <w:iCs/>
        </w:rPr>
        <w:t>l’environnement</w:t>
      </w:r>
      <w:r w:rsidRPr="008E4D6C">
        <w:t xml:space="preserve"> mondial sur les stratégies, politiques et priorités programmatiques globales et les conditions d’octroi et d’utilisation des ressources financières et sur une liste indicative des activités pouvant bénéficier de l’appui de la Caisse du Fonds pour l’environnement mondial, qui figurent dans l’annexe à la présente décision;</w:t>
      </w:r>
    </w:p>
    <w:p w14:paraId="6D833099" w14:textId="77777777" w:rsidR="00A247E2" w:rsidRPr="008E4D6C" w:rsidRDefault="00A247E2" w:rsidP="00A247E2">
      <w:pPr>
        <w:pStyle w:val="Normalnumber"/>
        <w:numPr>
          <w:ilvl w:val="0"/>
          <w:numId w:val="6"/>
        </w:numPr>
        <w:tabs>
          <w:tab w:val="left" w:pos="624"/>
        </w:tabs>
        <w:ind w:left="1276" w:firstLine="567"/>
      </w:pPr>
      <w:r w:rsidRPr="008E4D6C">
        <w:rPr>
          <w:i/>
          <w:iCs/>
        </w:rPr>
        <w:t xml:space="preserve">Prie </w:t>
      </w:r>
      <w:r w:rsidRPr="008E4D6C">
        <w:t xml:space="preserve">le secrétariat de transmettre ces orientations au Conseil du Fonds pour </w:t>
      </w:r>
      <w:r w:rsidRPr="008E4D6C">
        <w:rPr>
          <w:iCs/>
        </w:rPr>
        <w:t>l’environnement</w:t>
      </w:r>
      <w:r w:rsidRPr="008E4D6C">
        <w:t xml:space="preserve"> mondial.</w:t>
      </w:r>
    </w:p>
    <w:p w14:paraId="5CEC4FB2" w14:textId="77777777" w:rsidR="00A247E2" w:rsidRPr="008E4D6C" w:rsidRDefault="00A247E2" w:rsidP="00A247E2">
      <w:pPr>
        <w:tabs>
          <w:tab w:val="clear" w:pos="1247"/>
          <w:tab w:val="clear" w:pos="1814"/>
          <w:tab w:val="clear" w:pos="2381"/>
          <w:tab w:val="clear" w:pos="2948"/>
          <w:tab w:val="clear" w:pos="3515"/>
        </w:tabs>
        <w:rPr>
          <w:b/>
          <w:bCs/>
          <w:sz w:val="24"/>
          <w:szCs w:val="24"/>
        </w:rPr>
      </w:pPr>
      <w:r w:rsidRPr="008E4D6C">
        <w:rPr>
          <w:sz w:val="24"/>
          <w:szCs w:val="24"/>
        </w:rPr>
        <w:br w:type="page"/>
      </w:r>
    </w:p>
    <w:p w14:paraId="70BA5214" w14:textId="77777777" w:rsidR="00A247E2" w:rsidRPr="008E4D6C" w:rsidRDefault="00A247E2" w:rsidP="00A247E2">
      <w:pPr>
        <w:pStyle w:val="ZZAnxtitle"/>
        <w:spacing w:before="240"/>
        <w:rPr>
          <w:sz w:val="24"/>
          <w:szCs w:val="24"/>
          <w:lang w:val="fr-FR"/>
        </w:rPr>
      </w:pPr>
      <w:r w:rsidRPr="008E4D6C">
        <w:rPr>
          <w:sz w:val="24"/>
          <w:szCs w:val="24"/>
          <w:lang w:val="fr-FR"/>
        </w:rPr>
        <w:lastRenderedPageBreak/>
        <w:t>Annexe à la décision MC-1/5</w:t>
      </w:r>
    </w:p>
    <w:p w14:paraId="36EBB11E" w14:textId="77777777" w:rsidR="00A247E2" w:rsidRPr="008E4D6C" w:rsidRDefault="00A247E2" w:rsidP="00A247E2">
      <w:pPr>
        <w:pStyle w:val="ZZAnxtitle"/>
        <w:spacing w:before="80"/>
        <w:rPr>
          <w:sz w:val="24"/>
          <w:szCs w:val="24"/>
          <w:lang w:val="fr-FR"/>
        </w:rPr>
      </w:pPr>
      <w:r w:rsidRPr="008E4D6C">
        <w:rPr>
          <w:sz w:val="24"/>
          <w:szCs w:val="24"/>
          <w:lang w:val="fr-FR"/>
        </w:rPr>
        <w:t xml:space="preserve">Orientations à l’intention du Fonds pour l’environnement mondial </w:t>
      </w:r>
      <w:r w:rsidRPr="008E4D6C">
        <w:rPr>
          <w:sz w:val="24"/>
          <w:szCs w:val="24"/>
          <w:lang w:val="fr-FR"/>
        </w:rPr>
        <w:br/>
        <w:t xml:space="preserve">sur les stratégies, politiques et priorités programmatiques globales </w:t>
      </w:r>
      <w:r w:rsidRPr="008E4D6C">
        <w:rPr>
          <w:sz w:val="24"/>
          <w:szCs w:val="24"/>
          <w:lang w:val="fr-FR"/>
        </w:rPr>
        <w:br/>
        <w:t>et les conditions requises pour avoir accès aux ressources financières et utiliser ces dernières, et sur une liste indicative de catégories d’activités qui pourraient bénéficier du soutien de la Caisse du Fonds pour l’environnement mondial</w:t>
      </w:r>
    </w:p>
    <w:p w14:paraId="0AF69C73" w14:textId="77777777" w:rsidR="00A247E2" w:rsidRPr="008E4D6C" w:rsidRDefault="00A247E2" w:rsidP="00A247E2">
      <w:pPr>
        <w:pStyle w:val="Brdtext"/>
        <w:numPr>
          <w:ilvl w:val="0"/>
          <w:numId w:val="9"/>
        </w:numPr>
        <w:tabs>
          <w:tab w:val="clear" w:pos="1134"/>
          <w:tab w:val="clear" w:pos="1247"/>
        </w:tabs>
        <w:spacing w:after="120"/>
        <w:ind w:left="1274"/>
        <w:rPr>
          <w:rStyle w:val="Inget"/>
          <w:color w:val="auto"/>
          <w:sz w:val="20"/>
          <w:szCs w:val="20"/>
          <w:lang w:val="fr-FR"/>
        </w:rPr>
      </w:pPr>
      <w:r w:rsidRPr="008E4D6C">
        <w:rPr>
          <w:color w:val="auto"/>
          <w:sz w:val="20"/>
          <w:szCs w:val="20"/>
          <w:lang w:val="fr-FR"/>
        </w:rPr>
        <w:t>Conformément à l’article 13 de la Convention de Minamata sur le mercure, les présentes orientations ont pour but d’aider le Fonds pour l’environnement mondial (FEM) à remplir son rôle en tant qu’une des entités chargées d’assurer le fonctionnement du mécanisme de financement de la Convention de Minamata.</w:t>
      </w:r>
    </w:p>
    <w:p w14:paraId="31DCA55F" w14:textId="77777777" w:rsidR="00A247E2" w:rsidRPr="008E4D6C" w:rsidRDefault="00A247E2" w:rsidP="00A247E2">
      <w:pPr>
        <w:pStyle w:val="CH1"/>
        <w:numPr>
          <w:ilvl w:val="0"/>
          <w:numId w:val="10"/>
        </w:numPr>
        <w:tabs>
          <w:tab w:val="clear" w:pos="851"/>
          <w:tab w:val="left" w:pos="720"/>
          <w:tab w:val="left" w:pos="1274"/>
        </w:tabs>
        <w:ind w:left="1248" w:hanging="624"/>
        <w:rPr>
          <w:rStyle w:val="Inget"/>
          <w:b w:val="0"/>
          <w:bCs/>
          <w:lang w:val="fr-FR"/>
        </w:rPr>
      </w:pPr>
      <w:r w:rsidRPr="008E4D6C">
        <w:rPr>
          <w:lang w:val="fr-FR"/>
        </w:rPr>
        <w:t xml:space="preserve">Conditions requises pour avoir accès aux ressources financières </w:t>
      </w:r>
      <w:r w:rsidRPr="008E4D6C">
        <w:rPr>
          <w:lang w:val="fr-FR"/>
        </w:rPr>
        <w:br/>
        <w:t>et utiliser ces dernières</w:t>
      </w:r>
    </w:p>
    <w:p w14:paraId="78C0ECD3"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Pour qu’un pays puisse bénéficier du financement du FEM, qui est l’une des entités constitutives du mécanisme de financement de la Convention de Minamata sur le mercure, il doit être Partie à la Convention et être un pays en développement ou à économie en transition.</w:t>
      </w:r>
    </w:p>
    <w:p w14:paraId="1C4A4727"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Les activités ouvrant droit à l’obtention de fonds de la Caisse du FEM sont celles qui visent à la réalisation des objectifs de la Convention et qui respectent les présentes orientations.</w:t>
      </w:r>
    </w:p>
    <w:p w14:paraId="6898573E"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Les signataires de la Convention peuvent bénéficier du financement du FEM pour ce qui est des activités habilitantes, pour autant que les États concernés prennent de véritables mesures en vue de devenir Partie, par voie de lettre adressée par le ministre compétent au Directeur exécutif du Programme des Nations Unies pour l’environnement et au Directeur général et Président du Fonds pour l’environnement mondial.</w:t>
      </w:r>
    </w:p>
    <w:p w14:paraId="3757C894" w14:textId="77777777" w:rsidR="00A247E2" w:rsidRPr="008E4D6C" w:rsidRDefault="00A247E2" w:rsidP="00A247E2">
      <w:pPr>
        <w:pStyle w:val="CH1"/>
        <w:numPr>
          <w:ilvl w:val="0"/>
          <w:numId w:val="10"/>
        </w:numPr>
        <w:tabs>
          <w:tab w:val="left" w:pos="720"/>
        </w:tabs>
        <w:ind w:left="1248" w:hanging="624"/>
        <w:rPr>
          <w:lang w:val="fr-FR"/>
        </w:rPr>
      </w:pPr>
      <w:r w:rsidRPr="008E4D6C">
        <w:rPr>
          <w:lang w:val="fr-FR"/>
        </w:rPr>
        <w:t>Stratégies et politiques globales</w:t>
      </w:r>
    </w:p>
    <w:p w14:paraId="3DB6B48D" w14:textId="77777777" w:rsidR="00A247E2" w:rsidRPr="008E4D6C" w:rsidRDefault="00A247E2" w:rsidP="00A247E2">
      <w:pPr>
        <w:pStyle w:val="Brdtext"/>
        <w:numPr>
          <w:ilvl w:val="0"/>
          <w:numId w:val="9"/>
        </w:numPr>
        <w:tabs>
          <w:tab w:val="clear" w:pos="1134"/>
          <w:tab w:val="clear" w:pos="1247"/>
        </w:tabs>
        <w:spacing w:after="120"/>
        <w:ind w:left="1274"/>
        <w:rPr>
          <w:rStyle w:val="Inget"/>
          <w:color w:val="auto"/>
          <w:sz w:val="20"/>
          <w:szCs w:val="20"/>
          <w:lang w:val="fr-FR"/>
        </w:rPr>
      </w:pPr>
      <w:r w:rsidRPr="008E4D6C">
        <w:rPr>
          <w:color w:val="auto"/>
          <w:sz w:val="20"/>
          <w:szCs w:val="20"/>
          <w:lang w:val="fr-FR"/>
        </w:rPr>
        <w:t>Conformément au paragraphe 7 de l’article 13 de la Convention, la Caisse du FEM fournit en temps voulu des ressources financières nouvelles, prévisibles et adéquates pour couvrir les coûts de l’aide à la mise en œuvre de la Convention, comme convenu par la Conférence des Parties, y compris les coûts engendrés par des activités qui :</w:t>
      </w:r>
    </w:p>
    <w:p w14:paraId="25395672"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Sont menées à l’initiative des pays ;</w:t>
      </w:r>
    </w:p>
    <w:p w14:paraId="23B6295C"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Sont conformes aux priorités en matière de programmes telles qu’elles ressortent des orientations pertinentes communiquées par la Conférence des Parties ;</w:t>
      </w:r>
    </w:p>
    <w:p w14:paraId="1E5D6F03"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Renforcent les capacités et favorisent l’utilisation des compétences locales et régionales, le cas échéant ;</w:t>
      </w:r>
    </w:p>
    <w:p w14:paraId="01788F99"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Encouragent les synergies avec d’autres domaines d’intervention ;</w:t>
      </w:r>
    </w:p>
    <w:p w14:paraId="09299B54"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Continuent de renforcer les synergies et les retombées positives dans le domaine d’intervention des produits chimiques et des déchets ;</w:t>
      </w:r>
    </w:p>
    <w:p w14:paraId="1C38A895"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Favorisent les méthodes, mécanismes et dispositifs financés par plusieurs sources, notamment le secteur privé, le cas échéant ;</w:t>
      </w:r>
    </w:p>
    <w:p w14:paraId="44A80A8C"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t>Favorisent un développement socioéconomique national durable, l’atténuation de la pauvreté et les activités compatibles avec les programmes nationaux de gestion rationnelle de l’environnement existants ayant pour objet de protéger la santé humaine et l’environnement.</w:t>
      </w:r>
    </w:p>
    <w:p w14:paraId="7DA977B5" w14:textId="77777777" w:rsidR="00A247E2" w:rsidRPr="008E4D6C" w:rsidRDefault="00A247E2" w:rsidP="00A247E2">
      <w:pPr>
        <w:pStyle w:val="CH1"/>
        <w:numPr>
          <w:ilvl w:val="0"/>
          <w:numId w:val="10"/>
        </w:numPr>
        <w:tabs>
          <w:tab w:val="left" w:pos="720"/>
        </w:tabs>
        <w:ind w:left="1248" w:hanging="624"/>
        <w:rPr>
          <w:lang w:val="fr-FR"/>
        </w:rPr>
      </w:pPr>
      <w:r w:rsidRPr="008E4D6C">
        <w:rPr>
          <w:lang w:val="fr-FR"/>
        </w:rPr>
        <w:t>Priorités programmatiques</w:t>
      </w:r>
    </w:p>
    <w:p w14:paraId="696250FD"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Conformément au paragraphe 7 de l’article 13 de la Convention, la Caisse du FEM fournit des ressources pour couvrir les surcoûts convenus liés aux avantages environnementaux mondiaux et l’ensemble des coûts convenus de certaines activités habilitantes.</w:t>
      </w:r>
    </w:p>
    <w:p w14:paraId="7BC9EC06"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En particulier, la Caisse du FEM devrait accorder la priorité aux activités suivantes lorsqu’elle fournit des ressources financières aux Parties qui sont des pays en développement ou des pays à économie en transition :</w:t>
      </w:r>
    </w:p>
    <w:p w14:paraId="0C709486" w14:textId="77777777" w:rsidR="00A247E2" w:rsidRPr="008E4D6C" w:rsidRDefault="00A247E2" w:rsidP="00A247E2">
      <w:pPr>
        <w:pStyle w:val="Brdtext"/>
        <w:numPr>
          <w:ilvl w:val="1"/>
          <w:numId w:val="9"/>
        </w:numPr>
        <w:spacing w:after="120"/>
        <w:rPr>
          <w:rStyle w:val="Inget"/>
          <w:color w:val="auto"/>
          <w:sz w:val="20"/>
          <w:szCs w:val="20"/>
          <w:lang w:val="fr-FR"/>
        </w:rPr>
      </w:pPr>
      <w:r w:rsidRPr="008E4D6C">
        <w:rPr>
          <w:color w:val="auto"/>
          <w:sz w:val="20"/>
          <w:szCs w:val="20"/>
          <w:lang w:val="fr-FR"/>
        </w:rPr>
        <w:lastRenderedPageBreak/>
        <w:t>Activités habilitantes, en particulier les activités d’évaluation initiale de la Convention de Minamata et des plans d’action nationaux relatifs à l’extraction artisanale et à petite échelle d’or ;</w:t>
      </w:r>
    </w:p>
    <w:p w14:paraId="55FE9359" w14:textId="77777777" w:rsidR="00A247E2" w:rsidRPr="008E4D6C" w:rsidRDefault="00A247E2" w:rsidP="00A247E2">
      <w:pPr>
        <w:pStyle w:val="Brdtext"/>
        <w:keepNext/>
        <w:keepLines/>
        <w:numPr>
          <w:ilvl w:val="1"/>
          <w:numId w:val="9"/>
        </w:numPr>
        <w:spacing w:after="120"/>
        <w:rPr>
          <w:rStyle w:val="Inget"/>
          <w:color w:val="auto"/>
          <w:sz w:val="20"/>
          <w:szCs w:val="20"/>
          <w:lang w:val="fr-FR"/>
        </w:rPr>
      </w:pPr>
      <w:r w:rsidRPr="008E4D6C">
        <w:rPr>
          <w:color w:val="auto"/>
          <w:sz w:val="20"/>
          <w:szCs w:val="20"/>
          <w:lang w:val="fr-FR"/>
        </w:rPr>
        <w:t>Activités visant à mettre en œuvre les dispositions de la Convention, en accordant la priorité à celles qui :</w:t>
      </w:r>
    </w:p>
    <w:p w14:paraId="22679FCA" w14:textId="77777777" w:rsidR="00A247E2" w:rsidRPr="008E4D6C" w:rsidRDefault="00A247E2" w:rsidP="00A247E2">
      <w:pPr>
        <w:pStyle w:val="Brdtext"/>
        <w:keepNext/>
        <w:keepLines/>
        <w:numPr>
          <w:ilvl w:val="2"/>
          <w:numId w:val="9"/>
        </w:numPr>
        <w:spacing w:after="120"/>
        <w:rPr>
          <w:rStyle w:val="Inget"/>
          <w:color w:val="auto"/>
          <w:sz w:val="20"/>
          <w:szCs w:val="20"/>
          <w:lang w:val="fr-FR"/>
        </w:rPr>
      </w:pPr>
      <w:r w:rsidRPr="008E4D6C">
        <w:rPr>
          <w:color w:val="auto"/>
          <w:sz w:val="20"/>
          <w:szCs w:val="20"/>
          <w:lang w:val="fr-FR"/>
        </w:rPr>
        <w:t>Sont liées à des obligations juridiquement contraignantes ;</w:t>
      </w:r>
    </w:p>
    <w:p w14:paraId="7C69D5C8" w14:textId="77777777" w:rsidR="00A247E2" w:rsidRPr="008E4D6C" w:rsidRDefault="00A247E2" w:rsidP="00A247E2">
      <w:pPr>
        <w:pStyle w:val="Brdtext"/>
        <w:numPr>
          <w:ilvl w:val="2"/>
          <w:numId w:val="9"/>
        </w:numPr>
        <w:spacing w:after="120"/>
        <w:rPr>
          <w:rStyle w:val="Inget"/>
          <w:color w:val="auto"/>
          <w:sz w:val="20"/>
          <w:szCs w:val="20"/>
          <w:lang w:val="fr-FR"/>
        </w:rPr>
      </w:pPr>
      <w:r w:rsidRPr="008E4D6C">
        <w:rPr>
          <w:color w:val="auto"/>
          <w:sz w:val="20"/>
          <w:szCs w:val="20"/>
          <w:lang w:val="fr-FR"/>
        </w:rPr>
        <w:t>Facilitent l’application rapide de la Convention dès son entrée en vigueur à l’égard d’une Partie ;</w:t>
      </w:r>
    </w:p>
    <w:p w14:paraId="033B4BDA" w14:textId="77777777" w:rsidR="00A247E2" w:rsidRPr="008E4D6C" w:rsidRDefault="00A247E2" w:rsidP="00A247E2">
      <w:pPr>
        <w:pStyle w:val="Brdtext"/>
        <w:numPr>
          <w:ilvl w:val="2"/>
          <w:numId w:val="9"/>
        </w:numPr>
        <w:spacing w:after="120"/>
        <w:rPr>
          <w:rStyle w:val="Inget"/>
          <w:color w:val="auto"/>
          <w:sz w:val="20"/>
          <w:szCs w:val="20"/>
          <w:lang w:val="fr-FR"/>
        </w:rPr>
      </w:pPr>
      <w:r w:rsidRPr="008E4D6C">
        <w:rPr>
          <w:color w:val="auto"/>
          <w:sz w:val="20"/>
          <w:szCs w:val="20"/>
          <w:lang w:val="fr-FR"/>
        </w:rPr>
        <w:t>Permettent de réduire les émissions et rejets de mercure et s’attaquent aux incidences du mercure sur la santé et l’environnement.</w:t>
      </w:r>
    </w:p>
    <w:p w14:paraId="14D996C8"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Lorsqu’il fournit des ressources pour une activité, le FEM devrait tenir compte du potentiel de réduction du mercure de l’activité proposée par rapport à ses coûts, conformément au paragraphe 8 de l’article 13 de la Convention.</w:t>
      </w:r>
    </w:p>
    <w:p w14:paraId="7A7A2D0E" w14:textId="77777777" w:rsidR="00A247E2" w:rsidRPr="008E4D6C" w:rsidRDefault="00A247E2" w:rsidP="00A247E2">
      <w:pPr>
        <w:pStyle w:val="CH1"/>
        <w:numPr>
          <w:ilvl w:val="0"/>
          <w:numId w:val="10"/>
        </w:numPr>
        <w:tabs>
          <w:tab w:val="left" w:pos="720"/>
        </w:tabs>
        <w:ind w:left="1248" w:hanging="624"/>
        <w:rPr>
          <w:lang w:val="fr-FR"/>
        </w:rPr>
      </w:pPr>
      <w:r w:rsidRPr="008E4D6C">
        <w:rPr>
          <w:lang w:val="fr-FR"/>
        </w:rPr>
        <w:t>Liste indicative de catégories d’activités qui pourraient bénéficier de soutien</w:t>
      </w:r>
    </w:p>
    <w:p w14:paraId="3C1F5DFC" w14:textId="77777777" w:rsidR="00A247E2" w:rsidRPr="008E4D6C" w:rsidRDefault="00A247E2" w:rsidP="00A247E2">
      <w:pPr>
        <w:pStyle w:val="CH2"/>
        <w:tabs>
          <w:tab w:val="left" w:pos="720"/>
        </w:tabs>
        <w:ind w:left="1248" w:hanging="624"/>
        <w:rPr>
          <w:rStyle w:val="Inget"/>
          <w:b w:val="0"/>
          <w:bCs/>
          <w:lang w:val="fr-FR"/>
        </w:rPr>
      </w:pPr>
      <w:r w:rsidRPr="008E4D6C">
        <w:rPr>
          <w:lang w:val="fr-FR"/>
        </w:rPr>
        <w:t>A.</w:t>
      </w:r>
      <w:r w:rsidRPr="008E4D6C">
        <w:rPr>
          <w:lang w:val="fr-FR"/>
        </w:rPr>
        <w:tab/>
        <w:t>Activités habilitantes</w:t>
      </w:r>
    </w:p>
    <w:p w14:paraId="1A65559B" w14:textId="77777777" w:rsidR="00A247E2" w:rsidRPr="008E4D6C" w:rsidRDefault="00A247E2" w:rsidP="00A247E2">
      <w:pPr>
        <w:pStyle w:val="CH3"/>
        <w:tabs>
          <w:tab w:val="clear" w:pos="851"/>
        </w:tabs>
        <w:ind w:left="1248" w:hanging="624"/>
        <w:rPr>
          <w:rStyle w:val="Inget"/>
          <w:b w:val="0"/>
          <w:bCs/>
          <w:lang w:val="fr-FR"/>
        </w:rPr>
      </w:pPr>
      <w:r w:rsidRPr="008E4D6C">
        <w:rPr>
          <w:lang w:val="fr-FR"/>
        </w:rPr>
        <w:t>1.</w:t>
      </w:r>
      <w:r w:rsidRPr="008E4D6C">
        <w:rPr>
          <w:lang w:val="fr-FR"/>
        </w:rPr>
        <w:tab/>
        <w:t>Évaluations initiales de la Convention de Minamata</w:t>
      </w:r>
    </w:p>
    <w:p w14:paraId="3C91D29B" w14:textId="77777777" w:rsidR="00A247E2" w:rsidRPr="008E4D6C" w:rsidRDefault="00A247E2" w:rsidP="00A247E2">
      <w:pPr>
        <w:pStyle w:val="CH3"/>
        <w:tabs>
          <w:tab w:val="clear" w:pos="851"/>
        </w:tabs>
        <w:ind w:left="1248" w:hanging="624"/>
        <w:rPr>
          <w:rStyle w:val="Inget"/>
          <w:b w:val="0"/>
          <w:bCs/>
          <w:lang w:val="fr-FR"/>
        </w:rPr>
      </w:pPr>
      <w:r w:rsidRPr="008E4D6C">
        <w:rPr>
          <w:lang w:val="fr-FR"/>
        </w:rPr>
        <w:t>2.</w:t>
      </w:r>
      <w:r w:rsidRPr="008E4D6C">
        <w:rPr>
          <w:lang w:val="fr-FR"/>
        </w:rPr>
        <w:tab/>
        <w:t>Élaboration de plans d’action nationaux concernant l’extraction artisanale et à petite échelle d’or, conformément au paragraphe 3 de l’article 7 et à l’Annexe C</w:t>
      </w:r>
    </w:p>
    <w:p w14:paraId="41496019" w14:textId="77777777" w:rsidR="00A247E2" w:rsidRPr="008E4D6C" w:rsidRDefault="00A247E2" w:rsidP="00A247E2">
      <w:pPr>
        <w:pStyle w:val="CH3"/>
        <w:tabs>
          <w:tab w:val="clear" w:pos="851"/>
        </w:tabs>
        <w:ind w:left="1248" w:hanging="624"/>
        <w:rPr>
          <w:rStyle w:val="Inget"/>
          <w:b w:val="0"/>
          <w:bCs/>
          <w:lang w:val="fr-FR"/>
        </w:rPr>
      </w:pPr>
      <w:r w:rsidRPr="008E4D6C">
        <w:rPr>
          <w:lang w:val="fr-FR"/>
        </w:rPr>
        <w:t>3.</w:t>
      </w:r>
      <w:r w:rsidRPr="008E4D6C">
        <w:rPr>
          <w:lang w:val="fr-FR"/>
        </w:rPr>
        <w:tab/>
        <w:t>Autres types d’activités habilitantes, comme convenu par la Conférence des Parties</w:t>
      </w:r>
    </w:p>
    <w:p w14:paraId="36F8661D" w14:textId="77777777" w:rsidR="00A247E2" w:rsidRPr="008E4D6C" w:rsidRDefault="00A247E2" w:rsidP="00A247E2">
      <w:pPr>
        <w:pStyle w:val="CH2"/>
        <w:tabs>
          <w:tab w:val="clear" w:pos="851"/>
        </w:tabs>
        <w:ind w:left="1248" w:hanging="624"/>
        <w:rPr>
          <w:rStyle w:val="Inget"/>
          <w:b w:val="0"/>
          <w:bCs/>
          <w:sz w:val="28"/>
          <w:szCs w:val="28"/>
          <w:lang w:val="fr-FR"/>
        </w:rPr>
      </w:pPr>
      <w:r w:rsidRPr="008E4D6C">
        <w:rPr>
          <w:lang w:val="fr-FR"/>
        </w:rPr>
        <w:t>B.</w:t>
      </w:r>
      <w:r w:rsidRPr="008E4D6C">
        <w:rPr>
          <w:lang w:val="fr-FR"/>
        </w:rPr>
        <w:tab/>
        <w:t>Activités de mise en œuvre des dispositions de la Convention</w:t>
      </w:r>
    </w:p>
    <w:p w14:paraId="727247DD" w14:textId="77777777" w:rsidR="00A247E2" w:rsidRPr="008E4D6C" w:rsidRDefault="00A247E2" w:rsidP="00A247E2">
      <w:pPr>
        <w:pStyle w:val="CH3"/>
        <w:tabs>
          <w:tab w:val="clear" w:pos="851"/>
        </w:tabs>
        <w:ind w:left="1248" w:hanging="624"/>
        <w:rPr>
          <w:rStyle w:val="Inget"/>
          <w:b w:val="0"/>
          <w:bCs/>
          <w:lang w:val="fr-FR"/>
        </w:rPr>
      </w:pPr>
      <w:r w:rsidRPr="008E4D6C">
        <w:rPr>
          <w:lang w:val="fr-FR"/>
        </w:rPr>
        <w:t>1.</w:t>
      </w:r>
      <w:r w:rsidRPr="008E4D6C">
        <w:rPr>
          <w:lang w:val="fr-FR"/>
        </w:rPr>
        <w:tab/>
        <w:t>Activités de mise en œuvre des dispositions de la Convention qui sont liées à des obligations juridiquement contraignantes</w:t>
      </w:r>
    </w:p>
    <w:p w14:paraId="253BE79E"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Lorsqu’il fournit des ressources financières aux Parties remplissant les conditions requises, pour des activités de mise en œuvre des dispositions de la Convention, le FEM devrait accorder la priorité aux activités liées à des obligations juridiquement contraignantes auxquelles les Parties sont soumises au titre de la Convention et devrait tenir compte du potentiel de réduction du mercure de l’activité proposée par rapport à ses coûts. Ces activités peuvent notamment avoir trait aux domaines qui sont recensés ci-après sans ordre particulier :</w:t>
      </w:r>
    </w:p>
    <w:p w14:paraId="06315578"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Sources d’approvisionnement en mercure et commerce ;</w:t>
      </w:r>
    </w:p>
    <w:p w14:paraId="2DA8917F"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Produits contenant du mercure ajouté ;</w:t>
      </w:r>
    </w:p>
    <w:p w14:paraId="36E271C1"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Procédés de fabrication utilisant du mercure ou des composés du mercure ;</w:t>
      </w:r>
    </w:p>
    <w:p w14:paraId="2832D0EE"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Extraction minière artisanale et à petite échelle d’or ;</w:t>
      </w:r>
    </w:p>
    <w:p w14:paraId="40860FCE"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Émissions ;</w:t>
      </w:r>
    </w:p>
    <w:p w14:paraId="72192767"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Rejets ;</w:t>
      </w:r>
    </w:p>
    <w:p w14:paraId="4A0984E4" w14:textId="77777777" w:rsidR="00A247E2" w:rsidRPr="008E4D6C" w:rsidRDefault="00A247E2" w:rsidP="00A247E2">
      <w:pPr>
        <w:pStyle w:val="Normal-pool"/>
        <w:numPr>
          <w:ilvl w:val="0"/>
          <w:numId w:val="11"/>
        </w:numPr>
        <w:tabs>
          <w:tab w:val="clear" w:pos="2381"/>
          <w:tab w:val="left" w:pos="2410"/>
        </w:tabs>
        <w:spacing w:after="120"/>
        <w:ind w:left="2410" w:hanging="539"/>
        <w:rPr>
          <w:lang w:val="fr-FR"/>
        </w:rPr>
      </w:pPr>
      <w:r w:rsidRPr="008E4D6C">
        <w:rPr>
          <w:lang w:val="fr-FR"/>
        </w:rPr>
        <w:t>Stockage provisoire écologiquement rationnel du mercure, à l’exclusion des déchets de mercure ;</w:t>
      </w:r>
    </w:p>
    <w:p w14:paraId="6A3BFD03"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Déchets de mercure ;</w:t>
      </w:r>
    </w:p>
    <w:p w14:paraId="1A66424B" w14:textId="77777777" w:rsidR="00A247E2" w:rsidRPr="008E4D6C" w:rsidRDefault="00A247E2" w:rsidP="00A247E2">
      <w:pPr>
        <w:pStyle w:val="Normal-pool"/>
        <w:numPr>
          <w:ilvl w:val="0"/>
          <w:numId w:val="11"/>
        </w:numPr>
        <w:tabs>
          <w:tab w:val="clear" w:pos="2381"/>
          <w:tab w:val="left" w:pos="2410"/>
        </w:tabs>
        <w:spacing w:after="120"/>
        <w:rPr>
          <w:lang w:val="fr-FR"/>
        </w:rPr>
      </w:pPr>
      <w:r w:rsidRPr="008E4D6C">
        <w:rPr>
          <w:lang w:val="fr-FR"/>
        </w:rPr>
        <w:t>Établissement de rapports ;</w:t>
      </w:r>
    </w:p>
    <w:p w14:paraId="600A07CB" w14:textId="77777777" w:rsidR="00A247E2" w:rsidRPr="008E4D6C" w:rsidRDefault="00A247E2" w:rsidP="00A247E2">
      <w:pPr>
        <w:pStyle w:val="Normal-pool"/>
        <w:numPr>
          <w:ilvl w:val="0"/>
          <w:numId w:val="11"/>
        </w:numPr>
        <w:tabs>
          <w:tab w:val="clear" w:pos="2381"/>
          <w:tab w:val="left" w:pos="2410"/>
        </w:tabs>
        <w:spacing w:after="120"/>
        <w:ind w:left="2410" w:hanging="539"/>
        <w:rPr>
          <w:lang w:val="fr-FR"/>
        </w:rPr>
      </w:pPr>
      <w:r w:rsidRPr="008E4D6C">
        <w:rPr>
          <w:lang w:val="fr-FR"/>
        </w:rPr>
        <w:t>Renforcement des capacités, assistance technique et transfert de technologies applicables aux domaines susmentionnés.</w:t>
      </w:r>
    </w:p>
    <w:p w14:paraId="7BD9DAB2" w14:textId="77777777" w:rsidR="00A247E2" w:rsidRPr="008E4D6C" w:rsidRDefault="00A247E2" w:rsidP="00A247E2">
      <w:pPr>
        <w:pStyle w:val="CH3"/>
        <w:tabs>
          <w:tab w:val="clear" w:pos="851"/>
        </w:tabs>
        <w:ind w:left="1248" w:hanging="624"/>
        <w:rPr>
          <w:lang w:val="fr-FR"/>
        </w:rPr>
      </w:pPr>
      <w:r w:rsidRPr="008E4D6C">
        <w:rPr>
          <w:lang w:val="fr-FR"/>
        </w:rPr>
        <w:t>2.</w:t>
      </w:r>
      <w:r w:rsidRPr="008E4D6C">
        <w:rPr>
          <w:lang w:val="fr-FR"/>
        </w:rPr>
        <w:tab/>
        <w:t>Activités de mise en œuvre des dispositions de la Convention qui facilitent l’application rapide de la Convention dès son entrée en vigueur à l’égard d’une Partie</w:t>
      </w:r>
    </w:p>
    <w:p w14:paraId="6FA7EAB4"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Lorsqu’il envisage des activités de mise en œuvre de la Convention qui facilitent l’application rapide de la Convention dès son entrée en vigueur, le FEM devrait également envisager de soutenir des activités qui, bien qu’elles ne soient pas juridiquement obligatoires au titre de la Convention, pourraient sensiblement aider une Partie à mettre en œuvre la Convention dès l’entrée en vigueur de celle-ci à son égard.</w:t>
      </w:r>
    </w:p>
    <w:p w14:paraId="17E3E7F7"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lastRenderedPageBreak/>
        <w:t>Dans le cadre du mandat du FEM, ces activités pourraient notamment comprendre un soutien dans les domaines suivants :</w:t>
      </w:r>
    </w:p>
    <w:p w14:paraId="1D46A9DA"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Concernant les émissions, élaboration, par les Parties disposant de sources pertinentes d’émissions, d’un plan national énonçant les mesures à prendre pour contrôler les émissions ainsi que les objectifs, les buts et les résultats escomptés ;</w:t>
      </w:r>
    </w:p>
    <w:p w14:paraId="3AEECFBC"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Concernant les rejets, élaboration, par les Parties disposant de sources pertinentes de rejets, d’un plan national énonçant les mesures à prendre pour contrôler les rejets ainsi que les objectifs, les buts et les résultats escomptés ;</w:t>
      </w:r>
    </w:p>
    <w:p w14:paraId="76A43A55"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Concernant les sites contaminés, renforcement des capacités en vue d’élaborer des stratégies appropriées pour identifier et évaluer les sites contaminés par du mercure ou des composés du mercure et, selon qu’il convient, décontamination de ces sites ;</w:t>
      </w:r>
    </w:p>
    <w:p w14:paraId="155EC352"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Échange d’informations ;</w:t>
      </w:r>
    </w:p>
    <w:p w14:paraId="6F77DEC1"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Information, sensibilisation et éducation du public ;</w:t>
      </w:r>
    </w:p>
    <w:p w14:paraId="64A97444"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Coopération dans le domaine du développement et de l’amélioration de la recherche-développement et de la surveillance ;</w:t>
      </w:r>
    </w:p>
    <w:p w14:paraId="53DE531B" w14:textId="77777777" w:rsidR="00A247E2" w:rsidRPr="008E4D6C" w:rsidRDefault="00A247E2" w:rsidP="00A247E2">
      <w:pPr>
        <w:pStyle w:val="Brdtext"/>
        <w:numPr>
          <w:ilvl w:val="1"/>
          <w:numId w:val="12"/>
        </w:numPr>
        <w:spacing w:after="120"/>
        <w:rPr>
          <w:rStyle w:val="Inget"/>
          <w:color w:val="auto"/>
          <w:sz w:val="20"/>
          <w:szCs w:val="20"/>
          <w:lang w:val="fr-FR"/>
        </w:rPr>
      </w:pPr>
      <w:r w:rsidRPr="008E4D6C">
        <w:rPr>
          <w:color w:val="auto"/>
          <w:sz w:val="20"/>
          <w:szCs w:val="20"/>
          <w:lang w:val="fr-FR"/>
        </w:rPr>
        <w:t>Élaboration d’un plan de mise en œuvre à l’issue des premières évaluations.</w:t>
      </w:r>
    </w:p>
    <w:p w14:paraId="13271D0F" w14:textId="77777777" w:rsidR="00A247E2" w:rsidRPr="008E4D6C" w:rsidRDefault="00A247E2" w:rsidP="00A247E2">
      <w:pPr>
        <w:pStyle w:val="CH3"/>
        <w:tabs>
          <w:tab w:val="clear" w:pos="851"/>
        </w:tabs>
        <w:ind w:left="1248" w:hanging="624"/>
        <w:rPr>
          <w:lang w:val="fr-FR"/>
        </w:rPr>
      </w:pPr>
      <w:r w:rsidRPr="008E4D6C">
        <w:rPr>
          <w:lang w:val="fr-FR"/>
        </w:rPr>
        <w:t>3.</w:t>
      </w:r>
      <w:r w:rsidRPr="008E4D6C">
        <w:rPr>
          <w:lang w:val="fr-FR"/>
        </w:rPr>
        <w:tab/>
        <w:t xml:space="preserve">Activités de mise en œuvre de la Convention qui permettent de réduire les émissions </w:t>
      </w:r>
      <w:r w:rsidRPr="008E4D6C">
        <w:rPr>
          <w:lang w:val="fr-FR"/>
        </w:rPr>
        <w:br/>
        <w:t xml:space="preserve">et rejets de mercure et s’attaquent aux incidences du mercure tant sur la santé </w:t>
      </w:r>
      <w:r w:rsidRPr="008E4D6C">
        <w:rPr>
          <w:lang w:val="fr-FR"/>
        </w:rPr>
        <w:br/>
        <w:t>que sur l’environnement</w:t>
      </w:r>
    </w:p>
    <w:p w14:paraId="5E9291A7" w14:textId="77777777" w:rsidR="00A247E2" w:rsidRPr="008E4D6C" w:rsidRDefault="00A247E2" w:rsidP="00A247E2">
      <w:pPr>
        <w:pStyle w:val="Brdtext"/>
        <w:numPr>
          <w:ilvl w:val="0"/>
          <w:numId w:val="9"/>
        </w:numPr>
        <w:tabs>
          <w:tab w:val="clear" w:pos="1134"/>
          <w:tab w:val="clear" w:pos="1247"/>
        </w:tabs>
        <w:spacing w:after="120"/>
        <w:ind w:left="1274"/>
        <w:rPr>
          <w:color w:val="auto"/>
          <w:lang w:val="fr-FR"/>
        </w:rPr>
      </w:pPr>
      <w:r w:rsidRPr="008E4D6C">
        <w:rPr>
          <w:color w:val="auto"/>
          <w:sz w:val="20"/>
          <w:szCs w:val="20"/>
          <w:lang w:val="fr-FR"/>
        </w:rPr>
        <w:t>Les activités de mise en œuvre de la Convention qui permettent de réduire les émissions et rejets de mercure et s’attaquent aux incidences du mercure, tant sur la santé que sur l’environnement, peuvent englober des activités liées à la fois aux dispositions contraignantes et non contraignantes, en accordant la priorité aux dispositions juridiquement contraignantes évoquées plus haut qui cadrent avec le mandat du FEM de servir les intérêts de l’environnement au niveau mondial et la stratégie du FEM dans le domaine d’intervention relatif aux produits chimiques et déchets.</w:t>
      </w:r>
    </w:p>
    <w:p w14:paraId="37EA9F44" w14:textId="77777777" w:rsidR="00A247E2" w:rsidRPr="008E4D6C" w:rsidRDefault="00A247E2" w:rsidP="00A247E2">
      <w:pPr>
        <w:pStyle w:val="CH1"/>
        <w:numPr>
          <w:ilvl w:val="0"/>
          <w:numId w:val="10"/>
        </w:numPr>
        <w:tabs>
          <w:tab w:val="left" w:pos="720"/>
        </w:tabs>
        <w:ind w:left="1248" w:hanging="624"/>
        <w:rPr>
          <w:lang w:val="fr-FR"/>
        </w:rPr>
      </w:pPr>
      <w:r w:rsidRPr="008E4D6C">
        <w:rPr>
          <w:lang w:val="fr-FR"/>
        </w:rPr>
        <w:t>Examen par la Conférence des Parties</w:t>
      </w:r>
    </w:p>
    <w:p w14:paraId="3EECC740" w14:textId="77777777" w:rsidR="00A247E2" w:rsidRPr="008E4D6C" w:rsidRDefault="00A247E2" w:rsidP="00A247E2">
      <w:pPr>
        <w:pStyle w:val="Brdtext"/>
        <w:numPr>
          <w:ilvl w:val="0"/>
          <w:numId w:val="9"/>
        </w:numPr>
        <w:tabs>
          <w:tab w:val="clear" w:pos="1134"/>
          <w:tab w:val="clear" w:pos="1247"/>
        </w:tabs>
        <w:spacing w:after="120"/>
        <w:ind w:left="1274"/>
        <w:rPr>
          <w:color w:val="auto"/>
          <w:sz w:val="20"/>
          <w:szCs w:val="20"/>
          <w:lang w:val="fr-FR"/>
        </w:rPr>
      </w:pPr>
      <w:r w:rsidRPr="008E4D6C">
        <w:rPr>
          <w:color w:val="auto"/>
          <w:sz w:val="20"/>
          <w:szCs w:val="20"/>
          <w:lang w:val="fr-FR"/>
        </w:rPr>
        <w:t>Conformément au paragraphe 11 de l’article 13, la Conférence des Parties examinera, au plus tard à sa troisième réunion et, par la suite, à intervalles réguliers, le niveau de financement, les orientations qu’elle fournit au FEM en tant qu’une des entités chargées d’assurer le fonctionnement du mécanisme institué en vertu de l’article 13,</w:t>
      </w:r>
      <w:r w:rsidRPr="008E4D6C">
        <w:rPr>
          <w:color w:val="auto"/>
          <w:lang w:val="fr-FR"/>
        </w:rPr>
        <w:t xml:space="preserve"> </w:t>
      </w:r>
      <w:r w:rsidRPr="008E4D6C">
        <w:rPr>
          <w:color w:val="auto"/>
          <w:sz w:val="20"/>
          <w:szCs w:val="20"/>
          <w:lang w:val="fr-FR"/>
        </w:rPr>
        <w:t>et l’efficacité de ce mécanisme ainsi que sa capacité à répondre aux besoins en évolution des Parties qui sont des pays en développement et des pays à économie en transition. Sur la base de cet examen, la Conférence des Parties prendra des mesures appropriées pour améliorer l’efficacité du mécanisme de financement, notamment en actualisant et en hiérarchisant les orientations fournies au FEM en tant que de besoin.</w:t>
      </w:r>
    </w:p>
    <w:p w14:paraId="03942B25" w14:textId="141AE0F8" w:rsidR="008228B5" w:rsidRPr="008E4D6C" w:rsidRDefault="008228B5" w:rsidP="00064DA7">
      <w:pPr>
        <w:pStyle w:val="Normalnumber"/>
        <w:numPr>
          <w:ilvl w:val="0"/>
          <w:numId w:val="0"/>
        </w:numPr>
        <w:tabs>
          <w:tab w:val="clear" w:pos="4082"/>
          <w:tab w:val="left" w:pos="4111"/>
        </w:tabs>
      </w:pPr>
    </w:p>
    <w:sectPr w:rsidR="008228B5" w:rsidRPr="008E4D6C" w:rsidSect="00064DA7">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907" w:right="992" w:bottom="1418" w:left="1418" w:header="539" w:footer="975" w:gutter="0"/>
      <w:cols w:space="53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F23E94" w14:textId="77777777" w:rsidR="00D7653F" w:rsidRDefault="00D7653F">
      <w:r>
        <w:separator/>
      </w:r>
    </w:p>
  </w:endnote>
  <w:endnote w:type="continuationSeparator" w:id="0">
    <w:p w14:paraId="2C533FCF" w14:textId="77777777" w:rsidR="00D7653F" w:rsidRDefault="00D7653F">
      <w:r>
        <w:continuationSeparator/>
      </w:r>
    </w:p>
  </w:endnote>
  <w:endnote w:type="continuationNotice" w:id="1">
    <w:p w14:paraId="3F319FBD" w14:textId="77777777" w:rsidR="00D7653F" w:rsidRDefault="00D765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AA827" w14:textId="37F061F5" w:rsidR="00853842" w:rsidRDefault="00853842">
    <w:pPr>
      <w:pStyle w:val="Footer"/>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3D48B7" w14:textId="42554EB8" w:rsidR="00853842" w:rsidRDefault="00853842"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48263C">
      <w:rPr>
        <w:rStyle w:val="PageNumber"/>
        <w:noProof/>
      </w:rPr>
      <w:t>63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19573" w14:textId="78827440" w:rsidR="00853842" w:rsidRPr="00D25175" w:rsidRDefault="00853842">
    <w:pPr>
      <w:pStyle w:val="Footer"/>
      <w:rPr>
        <w:sz w:val="20"/>
      </w:rPr>
    </w:pPr>
    <w:r w:rsidRPr="00D25175">
      <w:rPr>
        <w:sz w:val="20"/>
      </w:rPr>
      <w:t>K17</w:t>
    </w:r>
    <w:r>
      <w:rPr>
        <w:sz w:val="20"/>
      </w:rPr>
      <w:t>08820</w:t>
    </w:r>
    <w:r w:rsidRPr="00D25175">
      <w:rPr>
        <w:sz w:val="20"/>
      </w:rPr>
      <w:tab/>
    </w:r>
    <w:r>
      <w:rPr>
        <w:sz w:val="20"/>
      </w:rPr>
      <w:t>160218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AFD9A" w14:textId="77777777" w:rsidR="00D7653F" w:rsidRDefault="00D7653F" w:rsidP="00D92DE0">
      <w:pPr>
        <w:ind w:left="624"/>
      </w:pPr>
      <w:r>
        <w:separator/>
      </w:r>
    </w:p>
  </w:footnote>
  <w:footnote w:type="continuationSeparator" w:id="0">
    <w:p w14:paraId="3EB6103F" w14:textId="77777777" w:rsidR="00D7653F" w:rsidRDefault="00D7653F">
      <w:r>
        <w:continuationSeparator/>
      </w:r>
    </w:p>
  </w:footnote>
  <w:footnote w:type="continuationNotice" w:id="1">
    <w:p w14:paraId="56F7AF24" w14:textId="77777777" w:rsidR="00D7653F" w:rsidRDefault="00D765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3F4E3A" w14:textId="45FA5765" w:rsidR="00853842" w:rsidRPr="00CA5CA9" w:rsidRDefault="00853842" w:rsidP="006B4C09">
    <w:pPr>
      <w:pStyle w:val="Header-pool"/>
    </w:pPr>
    <w:r w:rsidRPr="00CA5CA9">
      <w:rPr>
        <w:bCs/>
      </w:rPr>
      <w:t>UNEP</w:t>
    </w:r>
    <w:r w:rsidRPr="00CA5CA9">
      <w:t>/</w:t>
    </w:r>
    <w:r>
      <w:t>MC</w:t>
    </w:r>
    <w:r w:rsidRPr="00CA5CA9">
      <w:t>/</w:t>
    </w:r>
    <w:r>
      <w:t>COP.1</w:t>
    </w:r>
    <w:r w:rsidRPr="00CA5CA9">
      <w:t>/</w:t>
    </w:r>
    <w:r w:rsidR="007A60C5">
      <w:t>Dec.</w:t>
    </w:r>
    <w:r w:rsidR="00A247E2">
      <w:t>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C91C51" w14:textId="2866591C" w:rsidR="00853842" w:rsidRPr="00CA5CA9" w:rsidRDefault="00853842" w:rsidP="00F7137B">
    <w:pPr>
      <w:pStyle w:val="Header"/>
      <w:jc w:val="right"/>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sidR="007A60C5">
      <w:t>Dec.</w:t>
    </w:r>
    <w:r w:rsidR="00A247E2">
      <w:rPr>
        <w:szCs w:val="18"/>
      </w:rPr>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8784" w14:textId="70C0CA95" w:rsidR="00853842" w:rsidRDefault="00853842" w:rsidP="00032E4E">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329D"/>
    <w:multiLevelType w:val="hybridMultilevel"/>
    <w:tmpl w:val="F8764CCE"/>
    <w:lvl w:ilvl="0" w:tplc="1A9AD528">
      <w:start w:val="1"/>
      <w:numFmt w:val="upperRoman"/>
      <w:lvlText w:val="%1."/>
      <w:lvlJc w:val="left"/>
      <w:pPr>
        <w:ind w:left="1344" w:hanging="720"/>
      </w:pPr>
      <w:rPr>
        <w:b/>
      </w:rPr>
    </w:lvl>
    <w:lvl w:ilvl="1" w:tplc="04090019">
      <w:start w:val="1"/>
      <w:numFmt w:val="lowerLetter"/>
      <w:lvlText w:val="%2."/>
      <w:lvlJc w:val="left"/>
      <w:pPr>
        <w:ind w:left="1704" w:hanging="360"/>
      </w:pPr>
    </w:lvl>
    <w:lvl w:ilvl="2" w:tplc="0409001B">
      <w:start w:val="1"/>
      <w:numFmt w:val="lowerRoman"/>
      <w:lvlText w:val="%3."/>
      <w:lvlJc w:val="right"/>
      <w:pPr>
        <w:ind w:left="2424" w:hanging="180"/>
      </w:pPr>
    </w:lvl>
    <w:lvl w:ilvl="3" w:tplc="0409000F">
      <w:start w:val="1"/>
      <w:numFmt w:val="decimal"/>
      <w:lvlText w:val="%4."/>
      <w:lvlJc w:val="left"/>
      <w:pPr>
        <w:ind w:left="3144" w:hanging="360"/>
      </w:pPr>
    </w:lvl>
    <w:lvl w:ilvl="4" w:tplc="04090019">
      <w:start w:val="1"/>
      <w:numFmt w:val="lowerLetter"/>
      <w:lvlText w:val="%5."/>
      <w:lvlJc w:val="left"/>
      <w:pPr>
        <w:ind w:left="3864" w:hanging="360"/>
      </w:pPr>
    </w:lvl>
    <w:lvl w:ilvl="5" w:tplc="0409001B">
      <w:start w:val="1"/>
      <w:numFmt w:val="lowerRoman"/>
      <w:lvlText w:val="%6."/>
      <w:lvlJc w:val="right"/>
      <w:pPr>
        <w:ind w:left="4584" w:hanging="180"/>
      </w:pPr>
    </w:lvl>
    <w:lvl w:ilvl="6" w:tplc="0409000F">
      <w:start w:val="1"/>
      <w:numFmt w:val="decimal"/>
      <w:lvlText w:val="%7."/>
      <w:lvlJc w:val="left"/>
      <w:pPr>
        <w:ind w:left="5304" w:hanging="360"/>
      </w:pPr>
    </w:lvl>
    <w:lvl w:ilvl="7" w:tplc="04090019">
      <w:start w:val="1"/>
      <w:numFmt w:val="lowerLetter"/>
      <w:lvlText w:val="%8."/>
      <w:lvlJc w:val="left"/>
      <w:pPr>
        <w:ind w:left="6024" w:hanging="360"/>
      </w:pPr>
    </w:lvl>
    <w:lvl w:ilvl="8" w:tplc="0409001B">
      <w:start w:val="1"/>
      <w:numFmt w:val="lowerRoman"/>
      <w:lvlText w:val="%9."/>
      <w:lvlJc w:val="right"/>
      <w:pPr>
        <w:ind w:left="6744" w:hanging="180"/>
      </w:pPr>
    </w:lvl>
  </w:abstractNum>
  <w:abstractNum w:abstractNumId="1" w15:restartNumberingAfterBreak="0">
    <w:nsid w:val="064834BD"/>
    <w:multiLevelType w:val="hybridMultilevel"/>
    <w:tmpl w:val="E9D2B9D4"/>
    <w:styleLink w:val="Importeradestilen14"/>
    <w:lvl w:ilvl="0" w:tplc="8F369E90">
      <w:start w:val="1"/>
      <w:numFmt w:val="lowerLetter"/>
      <w:lvlText w:val="%1)"/>
      <w:lvlJc w:val="left"/>
      <w:pPr>
        <w:ind w:left="2174" w:hanging="360"/>
      </w:pPr>
      <w:rPr>
        <w:rFonts w:hAnsi="Arial Unicode MS" w:cs="Times New Roman"/>
        <w:caps w:val="0"/>
        <w:smallCaps w:val="0"/>
        <w:strike w:val="0"/>
        <w:dstrike w:val="0"/>
        <w:color w:val="000000"/>
        <w:spacing w:val="0"/>
        <w:w w:val="100"/>
        <w:kern w:val="0"/>
        <w:position w:val="0"/>
        <w:vertAlign w:val="baseline"/>
      </w:rPr>
    </w:lvl>
    <w:lvl w:ilvl="1" w:tplc="8B746692">
      <w:start w:val="1"/>
      <w:numFmt w:val="lowerLetter"/>
      <w:lvlText w:val="%2."/>
      <w:lvlJc w:val="left"/>
      <w:pPr>
        <w:ind w:left="2894" w:hanging="360"/>
      </w:pPr>
      <w:rPr>
        <w:rFonts w:hAnsi="Arial Unicode MS" w:cs="Times New Roman"/>
        <w:caps w:val="0"/>
        <w:smallCaps w:val="0"/>
        <w:strike w:val="0"/>
        <w:dstrike w:val="0"/>
        <w:color w:val="000000"/>
        <w:spacing w:val="0"/>
        <w:w w:val="100"/>
        <w:kern w:val="0"/>
        <w:position w:val="0"/>
        <w:vertAlign w:val="baseline"/>
      </w:rPr>
    </w:lvl>
    <w:lvl w:ilvl="2" w:tplc="7610BFCC">
      <w:start w:val="1"/>
      <w:numFmt w:val="lowerRoman"/>
      <w:lvlText w:val="%3."/>
      <w:lvlJc w:val="left"/>
      <w:pPr>
        <w:ind w:left="3515" w:hanging="168"/>
      </w:pPr>
      <w:rPr>
        <w:rFonts w:hAnsi="Arial Unicode MS" w:cs="Times New Roman"/>
        <w:caps w:val="0"/>
        <w:smallCaps w:val="0"/>
        <w:strike w:val="0"/>
        <w:dstrike w:val="0"/>
        <w:color w:val="000000"/>
        <w:spacing w:val="0"/>
        <w:w w:val="100"/>
        <w:kern w:val="0"/>
        <w:position w:val="0"/>
        <w:vertAlign w:val="baseline"/>
      </w:rPr>
    </w:lvl>
    <w:lvl w:ilvl="3" w:tplc="85D4A5F6">
      <w:start w:val="1"/>
      <w:numFmt w:val="decimal"/>
      <w:lvlText w:val="%4."/>
      <w:lvlJc w:val="left"/>
      <w:pPr>
        <w:ind w:left="4334" w:hanging="360"/>
      </w:pPr>
      <w:rPr>
        <w:rFonts w:hAnsi="Arial Unicode MS" w:cs="Times New Roman"/>
        <w:caps w:val="0"/>
        <w:smallCaps w:val="0"/>
        <w:strike w:val="0"/>
        <w:dstrike w:val="0"/>
        <w:color w:val="000000"/>
        <w:spacing w:val="0"/>
        <w:w w:val="100"/>
        <w:kern w:val="0"/>
        <w:position w:val="0"/>
        <w:vertAlign w:val="baseline"/>
      </w:rPr>
    </w:lvl>
    <w:lvl w:ilvl="4" w:tplc="793A48BC">
      <w:start w:val="1"/>
      <w:numFmt w:val="lowerLetter"/>
      <w:lvlText w:val="%5."/>
      <w:lvlJc w:val="left"/>
      <w:pPr>
        <w:ind w:left="5054" w:hanging="360"/>
      </w:pPr>
      <w:rPr>
        <w:rFonts w:hAnsi="Arial Unicode MS" w:cs="Times New Roman"/>
        <w:caps w:val="0"/>
        <w:smallCaps w:val="0"/>
        <w:strike w:val="0"/>
        <w:dstrike w:val="0"/>
        <w:color w:val="000000"/>
        <w:spacing w:val="0"/>
        <w:w w:val="100"/>
        <w:kern w:val="0"/>
        <w:position w:val="0"/>
        <w:vertAlign w:val="baseline"/>
      </w:rPr>
    </w:lvl>
    <w:lvl w:ilvl="5" w:tplc="BDD895C2">
      <w:start w:val="1"/>
      <w:numFmt w:val="lowerRoman"/>
      <w:lvlText w:val="%6."/>
      <w:lvlJc w:val="left"/>
      <w:pPr>
        <w:ind w:left="5774" w:hanging="267"/>
      </w:pPr>
      <w:rPr>
        <w:rFonts w:hAnsi="Arial Unicode MS" w:cs="Times New Roman"/>
        <w:caps w:val="0"/>
        <w:smallCaps w:val="0"/>
        <w:strike w:val="0"/>
        <w:dstrike w:val="0"/>
        <w:color w:val="000000"/>
        <w:spacing w:val="0"/>
        <w:w w:val="100"/>
        <w:kern w:val="0"/>
        <w:position w:val="0"/>
        <w:vertAlign w:val="baseline"/>
      </w:rPr>
    </w:lvl>
    <w:lvl w:ilvl="6" w:tplc="C59EDE88">
      <w:start w:val="1"/>
      <w:numFmt w:val="decimal"/>
      <w:lvlText w:val="%7."/>
      <w:lvlJc w:val="left"/>
      <w:pPr>
        <w:ind w:left="6494" w:hanging="360"/>
      </w:pPr>
      <w:rPr>
        <w:rFonts w:hAnsi="Arial Unicode MS" w:cs="Times New Roman"/>
        <w:caps w:val="0"/>
        <w:smallCaps w:val="0"/>
        <w:strike w:val="0"/>
        <w:dstrike w:val="0"/>
        <w:color w:val="000000"/>
        <w:spacing w:val="0"/>
        <w:w w:val="100"/>
        <w:kern w:val="0"/>
        <w:position w:val="0"/>
        <w:vertAlign w:val="baseline"/>
      </w:rPr>
    </w:lvl>
    <w:lvl w:ilvl="7" w:tplc="9F749A9C">
      <w:start w:val="1"/>
      <w:numFmt w:val="lowerLetter"/>
      <w:lvlText w:val="%8."/>
      <w:lvlJc w:val="left"/>
      <w:pPr>
        <w:ind w:left="7214" w:hanging="360"/>
      </w:pPr>
      <w:rPr>
        <w:rFonts w:hAnsi="Arial Unicode MS" w:cs="Times New Roman"/>
        <w:caps w:val="0"/>
        <w:smallCaps w:val="0"/>
        <w:strike w:val="0"/>
        <w:dstrike w:val="0"/>
        <w:color w:val="000000"/>
        <w:spacing w:val="0"/>
        <w:w w:val="100"/>
        <w:kern w:val="0"/>
        <w:position w:val="0"/>
        <w:vertAlign w:val="baseline"/>
      </w:rPr>
    </w:lvl>
    <w:lvl w:ilvl="8" w:tplc="DFCAE69C">
      <w:start w:val="1"/>
      <w:numFmt w:val="lowerRoman"/>
      <w:lvlText w:val="%9."/>
      <w:lvlJc w:val="left"/>
      <w:pPr>
        <w:ind w:left="7934" w:hanging="267"/>
      </w:pPr>
      <w:rPr>
        <w:rFonts w:hAnsi="Arial Unicode MS" w:cs="Times New Roman"/>
        <w:caps w:val="0"/>
        <w:smallCaps w:val="0"/>
        <w:strike w:val="0"/>
        <w:dstrike w:val="0"/>
        <w:color w:val="000000"/>
        <w:spacing w:val="0"/>
        <w:w w:val="100"/>
        <w:kern w:val="0"/>
        <w:position w:val="0"/>
        <w:vertAlign w:val="baseline"/>
      </w:rPr>
    </w:lvl>
  </w:abstractNum>
  <w:abstractNum w:abstractNumId="2" w15:restartNumberingAfterBreak="0">
    <w:nsid w:val="08182059"/>
    <w:multiLevelType w:val="multilevel"/>
    <w:tmpl w:val="6A743C6C"/>
    <w:lvl w:ilvl="0">
      <w:start w:val="1"/>
      <w:numFmt w:val="lowerLetter"/>
      <w:lvlText w:val="(%1)"/>
      <w:lvlJc w:val="left"/>
      <w:pPr>
        <w:tabs>
          <w:tab w:val="num" w:pos="568"/>
        </w:tabs>
        <w:ind w:left="1248" w:firstLine="0"/>
      </w:pPr>
      <w:rPr>
        <w:rFonts w:hint="default"/>
      </w:rPr>
    </w:lvl>
    <w:lvl w:ilvl="1">
      <w:start w:val="1"/>
      <w:numFmt w:val="lowerLetter"/>
      <w:lvlText w:val="(%2)"/>
      <w:lvlJc w:val="left"/>
      <w:pPr>
        <w:tabs>
          <w:tab w:val="num" w:pos="568"/>
        </w:tabs>
        <w:ind w:left="1248" w:firstLine="567"/>
      </w:pPr>
      <w:rPr>
        <w:rFonts w:hint="default"/>
      </w:rPr>
    </w:lvl>
    <w:lvl w:ilvl="2">
      <w:start w:val="1"/>
      <w:numFmt w:val="lowerRoman"/>
      <w:lvlText w:val="(%3)"/>
      <w:lvlJc w:val="left"/>
      <w:pPr>
        <w:tabs>
          <w:tab w:val="num" w:pos="568"/>
        </w:tabs>
        <w:ind w:left="2949" w:hanging="567"/>
      </w:pPr>
      <w:rPr>
        <w:rFonts w:hint="default"/>
      </w:rPr>
    </w:lvl>
    <w:lvl w:ilvl="3">
      <w:start w:val="1"/>
      <w:numFmt w:val="lowerLetter"/>
      <w:lvlText w:val="%4."/>
      <w:lvlJc w:val="left"/>
      <w:pPr>
        <w:tabs>
          <w:tab w:val="num" w:pos="568"/>
        </w:tabs>
        <w:ind w:left="3516" w:hanging="567"/>
      </w:pPr>
      <w:rPr>
        <w:rFonts w:hint="default"/>
      </w:rPr>
    </w:lvl>
    <w:lvl w:ilvl="4">
      <w:start w:val="1"/>
      <w:numFmt w:val="lowerLetter"/>
      <w:lvlText w:val="%5."/>
      <w:lvlJc w:val="left"/>
      <w:pPr>
        <w:tabs>
          <w:tab w:val="num" w:pos="6549"/>
        </w:tabs>
        <w:ind w:left="6549" w:hanging="360"/>
      </w:pPr>
      <w:rPr>
        <w:rFonts w:hint="default"/>
      </w:rPr>
    </w:lvl>
    <w:lvl w:ilvl="5">
      <w:start w:val="1"/>
      <w:numFmt w:val="lowerRoman"/>
      <w:lvlText w:val="%6."/>
      <w:lvlJc w:val="right"/>
      <w:pPr>
        <w:tabs>
          <w:tab w:val="num" w:pos="7269"/>
        </w:tabs>
        <w:ind w:left="7269" w:hanging="180"/>
      </w:pPr>
      <w:rPr>
        <w:rFonts w:hint="default"/>
      </w:rPr>
    </w:lvl>
    <w:lvl w:ilvl="6">
      <w:start w:val="1"/>
      <w:numFmt w:val="decimal"/>
      <w:lvlText w:val="%7."/>
      <w:lvlJc w:val="left"/>
      <w:pPr>
        <w:tabs>
          <w:tab w:val="num" w:pos="7989"/>
        </w:tabs>
        <w:ind w:left="7989" w:hanging="360"/>
      </w:pPr>
      <w:rPr>
        <w:rFonts w:hint="default"/>
      </w:rPr>
    </w:lvl>
    <w:lvl w:ilvl="7">
      <w:start w:val="1"/>
      <w:numFmt w:val="lowerLetter"/>
      <w:lvlText w:val="%8."/>
      <w:lvlJc w:val="left"/>
      <w:pPr>
        <w:tabs>
          <w:tab w:val="num" w:pos="8709"/>
        </w:tabs>
        <w:ind w:left="8709" w:hanging="360"/>
      </w:pPr>
      <w:rPr>
        <w:rFonts w:hint="default"/>
      </w:rPr>
    </w:lvl>
    <w:lvl w:ilvl="8">
      <w:start w:val="1"/>
      <w:numFmt w:val="lowerRoman"/>
      <w:lvlText w:val="%9."/>
      <w:lvlJc w:val="right"/>
      <w:pPr>
        <w:tabs>
          <w:tab w:val="num" w:pos="9429"/>
        </w:tabs>
        <w:ind w:left="9429" w:hanging="180"/>
      </w:pPr>
      <w:rPr>
        <w:rFonts w:hint="default"/>
      </w:rPr>
    </w:lvl>
  </w:abstractNum>
  <w:abstractNum w:abstractNumId="3" w15:restartNumberingAfterBreak="0">
    <w:nsid w:val="0E0B5E09"/>
    <w:multiLevelType w:val="hybridMultilevel"/>
    <w:tmpl w:val="E9D2B9D4"/>
    <w:numStyleLink w:val="Importeradestilen14"/>
  </w:abstractNum>
  <w:abstractNum w:abstractNumId="4" w15:restartNumberingAfterBreak="0">
    <w:nsid w:val="10F41B49"/>
    <w:multiLevelType w:val="hybridMultilevel"/>
    <w:tmpl w:val="F8EAB15E"/>
    <w:lvl w:ilvl="0" w:tplc="294A7B7C">
      <w:start w:val="1"/>
      <w:numFmt w:val="decimal"/>
      <w:lvlText w:val="%1."/>
      <w:lvlJc w:val="left"/>
      <w:pPr>
        <w:ind w:left="1636" w:hanging="360"/>
      </w:pPr>
      <w:rPr>
        <w:rFonts w:hint="default"/>
        <w:b w:val="0"/>
        <w:i w:val="0"/>
      </w:rPr>
    </w:lvl>
    <w:lvl w:ilvl="1" w:tplc="04090017">
      <w:start w:val="1"/>
      <w:numFmt w:val="lowerLetter"/>
      <w:lvlText w:val="%2)"/>
      <w:lvlJc w:val="left"/>
      <w:pPr>
        <w:ind w:left="2356" w:hanging="360"/>
      </w:pPr>
    </w:lvl>
    <w:lvl w:ilvl="2" w:tplc="0809001B">
      <w:start w:val="1"/>
      <w:numFmt w:val="lowerRoman"/>
      <w:lvlText w:val="%3."/>
      <w:lvlJc w:val="right"/>
      <w:pPr>
        <w:ind w:left="3076" w:hanging="180"/>
      </w:pPr>
    </w:lvl>
    <w:lvl w:ilvl="3" w:tplc="0809000F">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5"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0133B8C"/>
    <w:multiLevelType w:val="hybridMultilevel"/>
    <w:tmpl w:val="78CE10DE"/>
    <w:lvl w:ilvl="0" w:tplc="0809000F">
      <w:start w:val="1"/>
      <w:numFmt w:val="decimal"/>
      <w:lvlText w:val="%1."/>
      <w:lvlJc w:val="left"/>
      <w:pPr>
        <w:ind w:left="2531" w:hanging="360"/>
      </w:pPr>
    </w:lvl>
    <w:lvl w:ilvl="1" w:tplc="08090019" w:tentative="1">
      <w:start w:val="1"/>
      <w:numFmt w:val="lowerLetter"/>
      <w:lvlText w:val="%2."/>
      <w:lvlJc w:val="left"/>
      <w:pPr>
        <w:ind w:left="3251" w:hanging="360"/>
      </w:pPr>
    </w:lvl>
    <w:lvl w:ilvl="2" w:tplc="0809001B" w:tentative="1">
      <w:start w:val="1"/>
      <w:numFmt w:val="lowerRoman"/>
      <w:lvlText w:val="%3."/>
      <w:lvlJc w:val="right"/>
      <w:pPr>
        <w:ind w:left="3971" w:hanging="180"/>
      </w:pPr>
    </w:lvl>
    <w:lvl w:ilvl="3" w:tplc="0809000F" w:tentative="1">
      <w:start w:val="1"/>
      <w:numFmt w:val="decimal"/>
      <w:lvlText w:val="%4."/>
      <w:lvlJc w:val="left"/>
      <w:pPr>
        <w:ind w:left="4691" w:hanging="360"/>
      </w:pPr>
    </w:lvl>
    <w:lvl w:ilvl="4" w:tplc="08090019" w:tentative="1">
      <w:start w:val="1"/>
      <w:numFmt w:val="lowerLetter"/>
      <w:lvlText w:val="%5."/>
      <w:lvlJc w:val="left"/>
      <w:pPr>
        <w:ind w:left="5411" w:hanging="360"/>
      </w:pPr>
    </w:lvl>
    <w:lvl w:ilvl="5" w:tplc="0809001B" w:tentative="1">
      <w:start w:val="1"/>
      <w:numFmt w:val="lowerRoman"/>
      <w:lvlText w:val="%6."/>
      <w:lvlJc w:val="right"/>
      <w:pPr>
        <w:ind w:left="6131" w:hanging="180"/>
      </w:pPr>
    </w:lvl>
    <w:lvl w:ilvl="6" w:tplc="0809000F" w:tentative="1">
      <w:start w:val="1"/>
      <w:numFmt w:val="decimal"/>
      <w:lvlText w:val="%7."/>
      <w:lvlJc w:val="left"/>
      <w:pPr>
        <w:ind w:left="6851" w:hanging="360"/>
      </w:pPr>
    </w:lvl>
    <w:lvl w:ilvl="7" w:tplc="08090019" w:tentative="1">
      <w:start w:val="1"/>
      <w:numFmt w:val="lowerLetter"/>
      <w:lvlText w:val="%8."/>
      <w:lvlJc w:val="left"/>
      <w:pPr>
        <w:ind w:left="7571" w:hanging="360"/>
      </w:pPr>
    </w:lvl>
    <w:lvl w:ilvl="8" w:tplc="0809001B" w:tentative="1">
      <w:start w:val="1"/>
      <w:numFmt w:val="lowerRoman"/>
      <w:lvlText w:val="%9."/>
      <w:lvlJc w:val="right"/>
      <w:pPr>
        <w:ind w:left="8291" w:hanging="180"/>
      </w:pPr>
    </w:lvl>
  </w:abstractNum>
  <w:abstractNum w:abstractNumId="7" w15:restartNumberingAfterBreak="0">
    <w:nsid w:val="242E42B0"/>
    <w:multiLevelType w:val="hybridMultilevel"/>
    <w:tmpl w:val="383A7678"/>
    <w:styleLink w:val="Importeradestilen15"/>
    <w:lvl w:ilvl="0" w:tplc="43767D70">
      <w:start w:val="1"/>
      <w:numFmt w:val="lowerLetter"/>
      <w:lvlText w:val="%1)"/>
      <w:lvlJc w:val="left"/>
      <w:pPr>
        <w:tabs>
          <w:tab w:val="left" w:pos="1247"/>
          <w:tab w:val="left" w:pos="1814"/>
          <w:tab w:val="num" w:pos="1985"/>
          <w:tab w:val="left" w:pos="2948"/>
          <w:tab w:val="left" w:pos="3515"/>
          <w:tab w:val="left" w:pos="4082"/>
        </w:tabs>
        <w:ind w:left="2174" w:hanging="360"/>
      </w:pPr>
      <w:rPr>
        <w:rFonts w:hAnsi="Arial Unicode MS" w:cs="Times New Roman"/>
        <w:caps w:val="0"/>
        <w:smallCaps w:val="0"/>
        <w:strike w:val="0"/>
        <w:dstrike w:val="0"/>
        <w:color w:val="000000"/>
        <w:spacing w:val="0"/>
        <w:w w:val="100"/>
        <w:kern w:val="0"/>
        <w:position w:val="0"/>
        <w:vertAlign w:val="baseline"/>
      </w:rPr>
    </w:lvl>
    <w:lvl w:ilvl="1" w:tplc="CD0E27A0">
      <w:start w:val="1"/>
      <w:numFmt w:val="lowerLetter"/>
      <w:lvlText w:val="%2."/>
      <w:lvlJc w:val="left"/>
      <w:pPr>
        <w:tabs>
          <w:tab w:val="left" w:pos="1247"/>
          <w:tab w:val="left" w:pos="1814"/>
          <w:tab w:val="left" w:pos="1985"/>
          <w:tab w:val="num" w:pos="2894"/>
          <w:tab w:val="left" w:pos="2948"/>
          <w:tab w:val="left" w:pos="3515"/>
          <w:tab w:val="left" w:pos="4082"/>
        </w:tabs>
        <w:ind w:left="3083" w:hanging="549"/>
      </w:pPr>
      <w:rPr>
        <w:rFonts w:hAnsi="Arial Unicode MS" w:cs="Times New Roman"/>
        <w:caps w:val="0"/>
        <w:smallCaps w:val="0"/>
        <w:strike w:val="0"/>
        <w:dstrike w:val="0"/>
        <w:color w:val="000000"/>
        <w:spacing w:val="0"/>
        <w:w w:val="100"/>
        <w:kern w:val="0"/>
        <w:position w:val="0"/>
        <w:vertAlign w:val="baseline"/>
      </w:rPr>
    </w:lvl>
    <w:lvl w:ilvl="2" w:tplc="80CA228A">
      <w:start w:val="1"/>
      <w:numFmt w:val="lowerRoman"/>
      <w:lvlText w:val="%3."/>
      <w:lvlJc w:val="left"/>
      <w:pPr>
        <w:tabs>
          <w:tab w:val="left" w:pos="1247"/>
          <w:tab w:val="left" w:pos="1814"/>
          <w:tab w:val="left" w:pos="1985"/>
          <w:tab w:val="left" w:pos="2948"/>
          <w:tab w:val="num" w:pos="3515"/>
          <w:tab w:val="left" w:pos="4082"/>
        </w:tabs>
        <w:ind w:left="3704" w:hanging="357"/>
      </w:pPr>
      <w:rPr>
        <w:rFonts w:hAnsi="Arial Unicode MS" w:cs="Times New Roman"/>
        <w:caps w:val="0"/>
        <w:smallCaps w:val="0"/>
        <w:strike w:val="0"/>
        <w:dstrike w:val="0"/>
        <w:color w:val="000000"/>
        <w:spacing w:val="0"/>
        <w:w w:val="100"/>
        <w:kern w:val="0"/>
        <w:position w:val="0"/>
        <w:vertAlign w:val="baseline"/>
      </w:rPr>
    </w:lvl>
    <w:lvl w:ilvl="3" w:tplc="533CB256">
      <w:start w:val="1"/>
      <w:numFmt w:val="decimal"/>
      <w:lvlText w:val="%4."/>
      <w:lvlJc w:val="left"/>
      <w:pPr>
        <w:tabs>
          <w:tab w:val="left" w:pos="1247"/>
          <w:tab w:val="left" w:pos="1814"/>
          <w:tab w:val="left" w:pos="1985"/>
          <w:tab w:val="left" w:pos="2948"/>
          <w:tab w:val="left" w:pos="3515"/>
          <w:tab w:val="num" w:pos="4082"/>
        </w:tabs>
        <w:ind w:left="4271" w:hanging="297"/>
      </w:pPr>
      <w:rPr>
        <w:rFonts w:hAnsi="Arial Unicode MS" w:cs="Times New Roman"/>
        <w:caps w:val="0"/>
        <w:smallCaps w:val="0"/>
        <w:strike w:val="0"/>
        <w:dstrike w:val="0"/>
        <w:color w:val="000000"/>
        <w:spacing w:val="0"/>
        <w:w w:val="100"/>
        <w:kern w:val="0"/>
        <w:position w:val="0"/>
        <w:vertAlign w:val="baseline"/>
      </w:rPr>
    </w:lvl>
    <w:lvl w:ilvl="4" w:tplc="138C3BF2">
      <w:start w:val="1"/>
      <w:numFmt w:val="lowerLetter"/>
      <w:lvlText w:val="%5."/>
      <w:lvlJc w:val="left"/>
      <w:pPr>
        <w:tabs>
          <w:tab w:val="left" w:pos="1247"/>
          <w:tab w:val="left" w:pos="1814"/>
          <w:tab w:val="left" w:pos="1985"/>
          <w:tab w:val="left" w:pos="2948"/>
          <w:tab w:val="left" w:pos="3515"/>
          <w:tab w:val="left" w:pos="4082"/>
          <w:tab w:val="num" w:pos="5054"/>
        </w:tabs>
        <w:ind w:left="5243" w:hanging="549"/>
      </w:pPr>
      <w:rPr>
        <w:rFonts w:hAnsi="Arial Unicode MS" w:cs="Times New Roman"/>
        <w:caps w:val="0"/>
        <w:smallCaps w:val="0"/>
        <w:strike w:val="0"/>
        <w:dstrike w:val="0"/>
        <w:color w:val="000000"/>
        <w:spacing w:val="0"/>
        <w:w w:val="100"/>
        <w:kern w:val="0"/>
        <w:position w:val="0"/>
        <w:vertAlign w:val="baseline"/>
      </w:rPr>
    </w:lvl>
    <w:lvl w:ilvl="5" w:tplc="04AA61B8">
      <w:start w:val="1"/>
      <w:numFmt w:val="lowerRoman"/>
      <w:lvlText w:val="%6."/>
      <w:lvlJc w:val="left"/>
      <w:pPr>
        <w:tabs>
          <w:tab w:val="left" w:pos="1247"/>
          <w:tab w:val="left" w:pos="1814"/>
          <w:tab w:val="left" w:pos="1985"/>
          <w:tab w:val="left" w:pos="2948"/>
          <w:tab w:val="left" w:pos="3515"/>
          <w:tab w:val="left" w:pos="4082"/>
          <w:tab w:val="num" w:pos="5774"/>
        </w:tabs>
        <w:ind w:left="5963" w:hanging="456"/>
      </w:pPr>
      <w:rPr>
        <w:rFonts w:hAnsi="Arial Unicode MS" w:cs="Times New Roman"/>
        <w:caps w:val="0"/>
        <w:smallCaps w:val="0"/>
        <w:strike w:val="0"/>
        <w:dstrike w:val="0"/>
        <w:color w:val="000000"/>
        <w:spacing w:val="0"/>
        <w:w w:val="100"/>
        <w:kern w:val="0"/>
        <w:position w:val="0"/>
        <w:vertAlign w:val="baseline"/>
      </w:rPr>
    </w:lvl>
    <w:lvl w:ilvl="6" w:tplc="6996F760">
      <w:start w:val="1"/>
      <w:numFmt w:val="decimal"/>
      <w:lvlText w:val="%7."/>
      <w:lvlJc w:val="left"/>
      <w:pPr>
        <w:tabs>
          <w:tab w:val="left" w:pos="1247"/>
          <w:tab w:val="left" w:pos="1814"/>
          <w:tab w:val="left" w:pos="1985"/>
          <w:tab w:val="left" w:pos="2948"/>
          <w:tab w:val="left" w:pos="3515"/>
          <w:tab w:val="left" w:pos="4082"/>
          <w:tab w:val="num" w:pos="6494"/>
        </w:tabs>
        <w:ind w:left="6683" w:hanging="549"/>
      </w:pPr>
      <w:rPr>
        <w:rFonts w:hAnsi="Arial Unicode MS" w:cs="Times New Roman"/>
        <w:caps w:val="0"/>
        <w:smallCaps w:val="0"/>
        <w:strike w:val="0"/>
        <w:dstrike w:val="0"/>
        <w:color w:val="000000"/>
        <w:spacing w:val="0"/>
        <w:w w:val="100"/>
        <w:kern w:val="0"/>
        <w:position w:val="0"/>
        <w:vertAlign w:val="baseline"/>
      </w:rPr>
    </w:lvl>
    <w:lvl w:ilvl="7" w:tplc="D8304408">
      <w:start w:val="1"/>
      <w:numFmt w:val="lowerLetter"/>
      <w:lvlText w:val="%8."/>
      <w:lvlJc w:val="left"/>
      <w:pPr>
        <w:tabs>
          <w:tab w:val="left" w:pos="1247"/>
          <w:tab w:val="left" w:pos="1814"/>
          <w:tab w:val="left" w:pos="1985"/>
          <w:tab w:val="left" w:pos="2948"/>
          <w:tab w:val="left" w:pos="3515"/>
          <w:tab w:val="left" w:pos="4082"/>
          <w:tab w:val="num" w:pos="7214"/>
        </w:tabs>
        <w:ind w:left="7403" w:hanging="549"/>
      </w:pPr>
      <w:rPr>
        <w:rFonts w:hAnsi="Arial Unicode MS" w:cs="Times New Roman"/>
        <w:caps w:val="0"/>
        <w:smallCaps w:val="0"/>
        <w:strike w:val="0"/>
        <w:dstrike w:val="0"/>
        <w:color w:val="000000"/>
        <w:spacing w:val="0"/>
        <w:w w:val="100"/>
        <w:kern w:val="0"/>
        <w:position w:val="0"/>
        <w:vertAlign w:val="baseline"/>
      </w:rPr>
    </w:lvl>
    <w:lvl w:ilvl="8" w:tplc="369C860C">
      <w:start w:val="1"/>
      <w:numFmt w:val="lowerRoman"/>
      <w:lvlText w:val="%9."/>
      <w:lvlJc w:val="left"/>
      <w:pPr>
        <w:tabs>
          <w:tab w:val="left" w:pos="1247"/>
          <w:tab w:val="left" w:pos="1814"/>
          <w:tab w:val="left" w:pos="1985"/>
          <w:tab w:val="left" w:pos="2948"/>
          <w:tab w:val="left" w:pos="3515"/>
          <w:tab w:val="left" w:pos="4082"/>
          <w:tab w:val="num" w:pos="7934"/>
        </w:tabs>
        <w:ind w:left="8123" w:hanging="456"/>
      </w:pPr>
      <w:rPr>
        <w:rFonts w:hAnsi="Arial Unicode MS" w:cs="Times New Roman"/>
        <w:caps w:val="0"/>
        <w:smallCaps w:val="0"/>
        <w:strike w:val="0"/>
        <w:dstrike w:val="0"/>
        <w:color w:val="000000"/>
        <w:spacing w:val="0"/>
        <w:w w:val="100"/>
        <w:kern w:val="0"/>
        <w:position w:val="0"/>
        <w:vertAlign w:val="baseline"/>
      </w:rPr>
    </w:lvl>
  </w:abstractNum>
  <w:abstractNum w:abstractNumId="8" w15:restartNumberingAfterBreak="0">
    <w:nsid w:val="28C9598C"/>
    <w:multiLevelType w:val="hybridMultilevel"/>
    <w:tmpl w:val="2F66C8FA"/>
    <w:numStyleLink w:val="Importeradestilen12"/>
  </w:abstractNum>
  <w:abstractNum w:abstractNumId="9" w15:restartNumberingAfterBreak="0">
    <w:nsid w:val="2A3E42FD"/>
    <w:multiLevelType w:val="hybridMultilevel"/>
    <w:tmpl w:val="2F66C8FA"/>
    <w:styleLink w:val="Importeradestilen12"/>
    <w:lvl w:ilvl="0" w:tplc="CA001836">
      <w:start w:val="1"/>
      <w:numFmt w:val="decimal"/>
      <w:lvlText w:val="%1."/>
      <w:lvlJc w:val="left"/>
      <w:pPr>
        <w:tabs>
          <w:tab w:val="num" w:pos="1607"/>
          <w:tab w:val="left" w:pos="1701"/>
          <w:tab w:val="left" w:pos="2381"/>
          <w:tab w:val="left" w:pos="2948"/>
          <w:tab w:val="left" w:pos="3515"/>
          <w:tab w:val="left" w:pos="7988"/>
        </w:tabs>
        <w:ind w:left="1153" w:hanging="18"/>
      </w:pPr>
      <w:rPr>
        <w:rFonts w:hAnsi="Arial Unicode MS" w:cs="Times New Roman"/>
        <w:caps w:val="0"/>
        <w:smallCaps w:val="0"/>
        <w:strike w:val="0"/>
        <w:dstrike w:val="0"/>
        <w:color w:val="000000"/>
        <w:spacing w:val="0"/>
        <w:w w:val="100"/>
        <w:kern w:val="0"/>
        <w:position w:val="0"/>
        <w:vertAlign w:val="baseline"/>
      </w:rPr>
    </w:lvl>
    <w:lvl w:ilvl="1" w:tplc="32FE94AC">
      <w:start w:val="1"/>
      <w:numFmt w:val="lowerLetter"/>
      <w:lvlText w:val="(%2)"/>
      <w:lvlJc w:val="left"/>
      <w:pPr>
        <w:tabs>
          <w:tab w:val="num" w:pos="1607"/>
          <w:tab w:val="left" w:pos="1701"/>
          <w:tab w:val="left" w:pos="2381"/>
          <w:tab w:val="left" w:pos="2948"/>
          <w:tab w:val="left" w:pos="3515"/>
          <w:tab w:val="left" w:pos="7988"/>
        </w:tabs>
        <w:ind w:left="1152" w:hanging="18"/>
      </w:pPr>
      <w:rPr>
        <w:rFonts w:hAnsi="Arial Unicode MS" w:cs="Times New Roman"/>
        <w:caps w:val="0"/>
        <w:smallCaps w:val="0"/>
        <w:strike w:val="0"/>
        <w:dstrike w:val="0"/>
        <w:color w:val="000000"/>
        <w:spacing w:val="0"/>
        <w:w w:val="100"/>
        <w:kern w:val="0"/>
        <w:position w:val="0"/>
        <w:vertAlign w:val="baseline"/>
      </w:rPr>
    </w:lvl>
    <w:lvl w:ilvl="2" w:tplc="0F7C5A0C">
      <w:start w:val="1"/>
      <w:numFmt w:val="lowerRoman"/>
      <w:lvlText w:val="(%3)"/>
      <w:lvlJc w:val="left"/>
      <w:pPr>
        <w:tabs>
          <w:tab w:val="left" w:pos="1247"/>
          <w:tab w:val="left" w:pos="1701"/>
          <w:tab w:val="left" w:pos="2381"/>
          <w:tab w:val="num" w:pos="3308"/>
          <w:tab w:val="left" w:pos="3515"/>
          <w:tab w:val="left" w:pos="7988"/>
        </w:tabs>
        <w:ind w:left="2853" w:hanging="18"/>
      </w:pPr>
      <w:rPr>
        <w:rFonts w:hAnsi="Arial Unicode MS" w:cs="Times New Roman"/>
        <w:caps w:val="0"/>
        <w:smallCaps w:val="0"/>
        <w:strike w:val="0"/>
        <w:dstrike w:val="0"/>
        <w:color w:val="000000"/>
        <w:spacing w:val="0"/>
        <w:w w:val="100"/>
        <w:kern w:val="0"/>
        <w:position w:val="0"/>
        <w:vertAlign w:val="baseline"/>
      </w:rPr>
    </w:lvl>
    <w:lvl w:ilvl="3" w:tplc="16EEE7A4">
      <w:start w:val="1"/>
      <w:numFmt w:val="lowerLetter"/>
      <w:lvlText w:val="%4."/>
      <w:lvlJc w:val="left"/>
      <w:pPr>
        <w:tabs>
          <w:tab w:val="left" w:pos="1247"/>
          <w:tab w:val="left" w:pos="1701"/>
          <w:tab w:val="left" w:pos="2381"/>
          <w:tab w:val="left" w:pos="2948"/>
          <w:tab w:val="num" w:pos="3875"/>
          <w:tab w:val="left" w:pos="7988"/>
        </w:tabs>
        <w:ind w:left="3421" w:hanging="18"/>
      </w:pPr>
      <w:rPr>
        <w:rFonts w:hAnsi="Arial Unicode MS" w:cs="Times New Roman"/>
        <w:caps w:val="0"/>
        <w:smallCaps w:val="0"/>
        <w:strike w:val="0"/>
        <w:dstrike w:val="0"/>
        <w:color w:val="000000"/>
        <w:spacing w:val="0"/>
        <w:w w:val="100"/>
        <w:kern w:val="0"/>
        <w:position w:val="0"/>
        <w:vertAlign w:val="baseline"/>
      </w:rPr>
    </w:lvl>
    <w:lvl w:ilvl="4" w:tplc="41BAF298">
      <w:start w:val="1"/>
      <w:numFmt w:val="lowerLetter"/>
      <w:lvlText w:val="%5."/>
      <w:lvlJc w:val="left"/>
      <w:pPr>
        <w:tabs>
          <w:tab w:val="left" w:pos="1247"/>
          <w:tab w:val="left" w:pos="1701"/>
          <w:tab w:val="left" w:pos="2381"/>
          <w:tab w:val="left" w:pos="2948"/>
          <w:tab w:val="left" w:pos="3515"/>
          <w:tab w:val="num" w:pos="6942"/>
          <w:tab w:val="left" w:pos="7988"/>
        </w:tabs>
        <w:ind w:left="6488" w:firstLine="154"/>
      </w:pPr>
      <w:rPr>
        <w:rFonts w:hAnsi="Arial Unicode MS" w:cs="Times New Roman"/>
        <w:caps w:val="0"/>
        <w:smallCaps w:val="0"/>
        <w:strike w:val="0"/>
        <w:dstrike w:val="0"/>
        <w:color w:val="000000"/>
        <w:spacing w:val="0"/>
        <w:w w:val="100"/>
        <w:kern w:val="0"/>
        <w:position w:val="0"/>
        <w:vertAlign w:val="baseline"/>
      </w:rPr>
    </w:lvl>
    <w:lvl w:ilvl="5" w:tplc="683A1838">
      <w:start w:val="1"/>
      <w:numFmt w:val="lowerRoman"/>
      <w:lvlText w:val="%6."/>
      <w:lvlJc w:val="left"/>
      <w:pPr>
        <w:tabs>
          <w:tab w:val="left" w:pos="1247"/>
          <w:tab w:val="left" w:pos="1701"/>
          <w:tab w:val="left" w:pos="2381"/>
          <w:tab w:val="left" w:pos="2948"/>
          <w:tab w:val="left" w:pos="3515"/>
          <w:tab w:val="num" w:pos="7675"/>
          <w:tab w:val="left" w:pos="7988"/>
        </w:tabs>
        <w:ind w:left="7221" w:firstLine="217"/>
      </w:pPr>
      <w:rPr>
        <w:rFonts w:hAnsi="Arial Unicode MS" w:cs="Times New Roman"/>
        <w:caps w:val="0"/>
        <w:smallCaps w:val="0"/>
        <w:strike w:val="0"/>
        <w:dstrike w:val="0"/>
        <w:color w:val="000000"/>
        <w:spacing w:val="0"/>
        <w:w w:val="100"/>
        <w:kern w:val="0"/>
        <w:position w:val="0"/>
        <w:vertAlign w:val="baseline"/>
      </w:rPr>
    </w:lvl>
    <w:lvl w:ilvl="6" w:tplc="884C5B58">
      <w:start w:val="1"/>
      <w:numFmt w:val="decimal"/>
      <w:lvlText w:val="%7."/>
      <w:lvlJc w:val="left"/>
      <w:pPr>
        <w:tabs>
          <w:tab w:val="left" w:pos="1247"/>
          <w:tab w:val="num" w:pos="1701"/>
          <w:tab w:val="left" w:pos="2381"/>
          <w:tab w:val="left" w:pos="2948"/>
          <w:tab w:val="left" w:pos="3515"/>
          <w:tab w:val="left" w:pos="7988"/>
        </w:tabs>
        <w:ind w:left="1247"/>
      </w:pPr>
      <w:rPr>
        <w:rFonts w:hAnsi="Arial Unicode MS" w:cs="Times New Roman"/>
        <w:caps w:val="0"/>
        <w:smallCaps w:val="0"/>
        <w:strike w:val="0"/>
        <w:dstrike w:val="0"/>
        <w:color w:val="000000"/>
        <w:spacing w:val="0"/>
        <w:w w:val="100"/>
        <w:kern w:val="0"/>
        <w:position w:val="0"/>
        <w:vertAlign w:val="baseline"/>
      </w:rPr>
    </w:lvl>
    <w:lvl w:ilvl="7" w:tplc="96801D68">
      <w:start w:val="1"/>
      <w:numFmt w:val="lowerLetter"/>
      <w:lvlText w:val="%8."/>
      <w:lvlJc w:val="left"/>
      <w:pPr>
        <w:tabs>
          <w:tab w:val="left" w:pos="1247"/>
          <w:tab w:val="left" w:pos="1701"/>
          <w:tab w:val="num" w:pos="2421"/>
          <w:tab w:val="left" w:pos="2948"/>
          <w:tab w:val="left" w:pos="3515"/>
          <w:tab w:val="left" w:pos="7988"/>
        </w:tabs>
        <w:ind w:left="1967" w:firstLine="40"/>
      </w:pPr>
      <w:rPr>
        <w:rFonts w:hAnsi="Arial Unicode MS" w:cs="Times New Roman"/>
        <w:caps w:val="0"/>
        <w:smallCaps w:val="0"/>
        <w:strike w:val="0"/>
        <w:dstrike w:val="0"/>
        <w:color w:val="000000"/>
        <w:spacing w:val="0"/>
        <w:w w:val="100"/>
        <w:kern w:val="0"/>
        <w:position w:val="0"/>
        <w:vertAlign w:val="baseline"/>
      </w:rPr>
    </w:lvl>
    <w:lvl w:ilvl="8" w:tplc="854AE768">
      <w:start w:val="1"/>
      <w:numFmt w:val="lowerRoman"/>
      <w:lvlText w:val="%9."/>
      <w:lvlJc w:val="left"/>
      <w:pPr>
        <w:tabs>
          <w:tab w:val="left" w:pos="1247"/>
          <w:tab w:val="left" w:pos="1701"/>
          <w:tab w:val="left" w:pos="2381"/>
          <w:tab w:val="left" w:pos="2948"/>
          <w:tab w:val="num" w:pos="3141"/>
          <w:tab w:val="left" w:pos="3515"/>
          <w:tab w:val="left" w:pos="7988"/>
        </w:tabs>
        <w:ind w:left="2687" w:firstLine="286"/>
      </w:pPr>
      <w:rPr>
        <w:rFonts w:hAnsi="Arial Unicode MS" w:cs="Times New Roman"/>
        <w:caps w:val="0"/>
        <w:smallCaps w:val="0"/>
        <w:strike w:val="0"/>
        <w:dstrike w:val="0"/>
        <w:color w:val="000000"/>
        <w:spacing w:val="0"/>
        <w:w w:val="100"/>
        <w:kern w:val="0"/>
        <w:position w:val="0"/>
        <w:vertAlign w:val="baseline"/>
      </w:rPr>
    </w:lvl>
  </w:abstractNum>
  <w:abstractNum w:abstractNumId="10" w15:restartNumberingAfterBreak="0">
    <w:nsid w:val="2B06436D"/>
    <w:multiLevelType w:val="hybridMultilevel"/>
    <w:tmpl w:val="8CDA177C"/>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C76A4">
      <w:start w:val="1"/>
      <w:numFmt w:val="bullet"/>
      <w:lvlText w:val="o"/>
      <w:lvlJc w:val="left"/>
      <w:pPr>
        <w:tabs>
          <w:tab w:val="left" w:pos="624"/>
        </w:tabs>
        <w:ind w:left="321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8C270C">
      <w:start w:val="1"/>
      <w:numFmt w:val="bullet"/>
      <w:lvlText w:val="▪"/>
      <w:lvlJc w:val="left"/>
      <w:pPr>
        <w:tabs>
          <w:tab w:val="left" w:pos="624"/>
        </w:tabs>
        <w:ind w:left="39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96872F2">
      <w:start w:val="1"/>
      <w:numFmt w:val="bullet"/>
      <w:lvlText w:val="•"/>
      <w:lvlJc w:val="left"/>
      <w:pPr>
        <w:tabs>
          <w:tab w:val="left" w:pos="624"/>
        </w:tabs>
        <w:ind w:left="465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0F0BE72">
      <w:start w:val="1"/>
      <w:numFmt w:val="bullet"/>
      <w:lvlText w:val="o"/>
      <w:lvlJc w:val="left"/>
      <w:pPr>
        <w:tabs>
          <w:tab w:val="left" w:pos="624"/>
        </w:tabs>
        <w:ind w:left="537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ECCBBCA">
      <w:start w:val="1"/>
      <w:numFmt w:val="bullet"/>
      <w:lvlText w:val="▪"/>
      <w:lvlJc w:val="left"/>
      <w:pPr>
        <w:tabs>
          <w:tab w:val="left" w:pos="624"/>
        </w:tabs>
        <w:ind w:left="609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6C8928">
      <w:start w:val="1"/>
      <w:numFmt w:val="bullet"/>
      <w:lvlText w:val="•"/>
      <w:lvlJc w:val="left"/>
      <w:pPr>
        <w:tabs>
          <w:tab w:val="left" w:pos="624"/>
        </w:tabs>
        <w:ind w:left="6815" w:hanging="624"/>
      </w:pPr>
      <w:rPr>
        <w:rFonts w:ascii="Symbol" w:eastAsia="Times New Roman" w:hAnsi="Symbol"/>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4E75D6">
      <w:start w:val="1"/>
      <w:numFmt w:val="bullet"/>
      <w:lvlText w:val="o"/>
      <w:lvlJc w:val="left"/>
      <w:pPr>
        <w:tabs>
          <w:tab w:val="left" w:pos="624"/>
        </w:tabs>
        <w:ind w:left="753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65C44CC">
      <w:start w:val="1"/>
      <w:numFmt w:val="bullet"/>
      <w:lvlText w:val="▪"/>
      <w:lvlJc w:val="left"/>
      <w:pPr>
        <w:tabs>
          <w:tab w:val="left" w:pos="624"/>
        </w:tabs>
        <w:ind w:left="8255" w:hanging="624"/>
      </w:pPr>
      <w:rPr>
        <w:rFonts w:ascii="Arial Unicode MS" w:eastAsia="Times New Roman" w:hAnsi="Arial Unicode MS"/>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2E3F666A"/>
    <w:multiLevelType w:val="hybridMultilevel"/>
    <w:tmpl w:val="CF102ED6"/>
    <w:lvl w:ilvl="0" w:tplc="6E2ADB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F85204"/>
    <w:multiLevelType w:val="hybridMultilevel"/>
    <w:tmpl w:val="A896055A"/>
    <w:lvl w:ilvl="0" w:tplc="9BEADC66">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E87A78"/>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1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15" w15:restartNumberingAfterBreak="0">
    <w:nsid w:val="389314FC"/>
    <w:multiLevelType w:val="hybridMultilevel"/>
    <w:tmpl w:val="95A8B198"/>
    <w:lvl w:ilvl="0" w:tplc="0809000F">
      <w:start w:val="1"/>
      <w:numFmt w:val="decimal"/>
      <w:lvlText w:val="%1."/>
      <w:lvlJc w:val="left"/>
      <w:pPr>
        <w:ind w:left="2591" w:hanging="360"/>
      </w:p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16" w15:restartNumberingAfterBreak="0">
    <w:nsid w:val="391D4778"/>
    <w:multiLevelType w:val="hybridMultilevel"/>
    <w:tmpl w:val="383A7678"/>
    <w:numStyleLink w:val="Importeradestilen15"/>
  </w:abstractNum>
  <w:abstractNum w:abstractNumId="17" w15:restartNumberingAfterBreak="0">
    <w:nsid w:val="3C7B7054"/>
    <w:multiLevelType w:val="hybridMultilevel"/>
    <w:tmpl w:val="2B1886D8"/>
    <w:lvl w:ilvl="0" w:tplc="781E939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4621E93"/>
    <w:multiLevelType w:val="hybridMultilevel"/>
    <w:tmpl w:val="A2A62A8A"/>
    <w:lvl w:ilvl="0" w:tplc="4D1CB634">
      <w:start w:val="1"/>
      <w:numFmt w:val="decimal"/>
      <w:lvlText w:val="%1."/>
      <w:lvlJc w:val="left"/>
      <w:pPr>
        <w:ind w:left="2231" w:hanging="360"/>
      </w:pPr>
      <w:rPr>
        <w:rFonts w:hint="default"/>
        <w:i w:val="0"/>
        <w:iCs/>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19" w15:restartNumberingAfterBreak="0">
    <w:nsid w:val="4F192813"/>
    <w:multiLevelType w:val="hybridMultilevel"/>
    <w:tmpl w:val="35464E1A"/>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abstractNum w:abstractNumId="20" w15:restartNumberingAfterBreak="0">
    <w:nsid w:val="52A66A9D"/>
    <w:multiLevelType w:val="multilevel"/>
    <w:tmpl w:val="F4ACF36E"/>
    <w:styleLink w:val="Normallist"/>
    <w:lvl w:ilvl="0">
      <w:start w:val="1"/>
      <w:numFmt w:val="decimal"/>
      <w:pStyle w:val="Normalnumber"/>
      <w:lvlText w:val="%1."/>
      <w:lvlJc w:val="left"/>
      <w:pPr>
        <w:tabs>
          <w:tab w:val="num" w:pos="2830"/>
        </w:tabs>
        <w:ind w:left="3510"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1" w15:restartNumberingAfterBreak="0">
    <w:nsid w:val="5FE34526"/>
    <w:multiLevelType w:val="hybridMultilevel"/>
    <w:tmpl w:val="D07A6E4C"/>
    <w:lvl w:ilvl="0" w:tplc="6B38BBA4">
      <w:start w:val="1"/>
      <w:numFmt w:val="decimal"/>
      <w:lvlText w:val="%1."/>
      <w:lvlJc w:val="left"/>
      <w:pPr>
        <w:tabs>
          <w:tab w:val="num" w:pos="1134"/>
        </w:tabs>
        <w:ind w:left="1247" w:firstLine="0"/>
      </w:pPr>
    </w:lvl>
    <w:lvl w:ilvl="1" w:tplc="2010832C">
      <w:start w:val="1"/>
      <w:numFmt w:val="lowerLetter"/>
      <w:lvlText w:val="(%2)"/>
      <w:lvlJc w:val="left"/>
      <w:pPr>
        <w:tabs>
          <w:tab w:val="num" w:pos="1134"/>
        </w:tabs>
        <w:ind w:left="1247" w:firstLine="567"/>
      </w:pPr>
    </w:lvl>
    <w:lvl w:ilvl="2" w:tplc="8E6C2BA4">
      <w:start w:val="1"/>
      <w:numFmt w:val="lowerRoman"/>
      <w:lvlText w:val="(%3)"/>
      <w:lvlJc w:val="left"/>
      <w:pPr>
        <w:tabs>
          <w:tab w:val="num" w:pos="1134"/>
        </w:tabs>
        <w:ind w:left="2948" w:hanging="567"/>
      </w:pPr>
    </w:lvl>
    <w:lvl w:ilvl="3" w:tplc="9B4E8D44">
      <w:start w:val="1"/>
      <w:numFmt w:val="lowerLetter"/>
      <w:lvlText w:val="%4."/>
      <w:lvlJc w:val="left"/>
      <w:pPr>
        <w:tabs>
          <w:tab w:val="num" w:pos="1134"/>
        </w:tabs>
        <w:ind w:left="3515" w:hanging="567"/>
      </w:pPr>
    </w:lvl>
    <w:lvl w:ilvl="4" w:tplc="047C88B0">
      <w:start w:val="1"/>
      <w:numFmt w:val="lowerRoman"/>
      <w:lvlText w:val="%5."/>
      <w:lvlJc w:val="left"/>
      <w:pPr>
        <w:tabs>
          <w:tab w:val="num" w:pos="1134"/>
        </w:tabs>
        <w:ind w:left="4082" w:hanging="567"/>
      </w:pPr>
    </w:lvl>
    <w:lvl w:ilvl="5" w:tplc="4586B8AA">
      <w:start w:val="1"/>
      <w:numFmt w:val="lowerRoman"/>
      <w:lvlText w:val="%6."/>
      <w:lvlJc w:val="right"/>
      <w:pPr>
        <w:tabs>
          <w:tab w:val="num" w:pos="7835"/>
        </w:tabs>
        <w:ind w:left="7835" w:hanging="180"/>
      </w:pPr>
    </w:lvl>
    <w:lvl w:ilvl="6" w:tplc="F1CE018A">
      <w:start w:val="1"/>
      <w:numFmt w:val="decimal"/>
      <w:lvlText w:val="%7."/>
      <w:lvlJc w:val="left"/>
      <w:pPr>
        <w:tabs>
          <w:tab w:val="num" w:pos="8555"/>
        </w:tabs>
        <w:ind w:left="8555" w:hanging="360"/>
      </w:pPr>
    </w:lvl>
    <w:lvl w:ilvl="7" w:tplc="79FA11B8">
      <w:start w:val="1"/>
      <w:numFmt w:val="lowerLetter"/>
      <w:lvlText w:val="%8."/>
      <w:lvlJc w:val="left"/>
      <w:pPr>
        <w:tabs>
          <w:tab w:val="num" w:pos="9275"/>
        </w:tabs>
        <w:ind w:left="9275" w:hanging="360"/>
      </w:pPr>
    </w:lvl>
    <w:lvl w:ilvl="8" w:tplc="04D26BA6">
      <w:start w:val="1"/>
      <w:numFmt w:val="lowerRoman"/>
      <w:lvlText w:val="%9."/>
      <w:lvlJc w:val="right"/>
      <w:pPr>
        <w:tabs>
          <w:tab w:val="num" w:pos="9995"/>
        </w:tabs>
        <w:ind w:left="9995" w:hanging="180"/>
      </w:pPr>
    </w:lvl>
  </w:abstractNum>
  <w:abstractNum w:abstractNumId="22" w15:restartNumberingAfterBreak="0">
    <w:nsid w:val="62291BF8"/>
    <w:multiLevelType w:val="multilevel"/>
    <w:tmpl w:val="F4ACF36E"/>
    <w:numStyleLink w:val="Normallist"/>
  </w:abstractNum>
  <w:abstractNum w:abstractNumId="23" w15:restartNumberingAfterBreak="0">
    <w:nsid w:val="658E3431"/>
    <w:multiLevelType w:val="hybridMultilevel"/>
    <w:tmpl w:val="F4ACF36E"/>
    <w:numStyleLink w:val="Normallist"/>
  </w:abstractNum>
  <w:abstractNum w:abstractNumId="24" w15:restartNumberingAfterBreak="0">
    <w:nsid w:val="6632515B"/>
    <w:multiLevelType w:val="hybridMultilevel"/>
    <w:tmpl w:val="88D4D156"/>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 w:ilvl="1" w:tplc="08090003">
      <w:start w:val="1"/>
      <w:numFmt w:val="bullet"/>
      <w:lvlText w:val="o"/>
      <w:lvlJc w:val="left"/>
      <w:pPr>
        <w:ind w:left="2924" w:hanging="360"/>
      </w:pPr>
      <w:rPr>
        <w:rFonts w:ascii="Courier New" w:hAnsi="Courier New" w:cs="Courier New" w:hint="default"/>
      </w:rPr>
    </w:lvl>
    <w:lvl w:ilvl="2" w:tplc="08090005" w:tentative="1">
      <w:start w:val="1"/>
      <w:numFmt w:val="bullet"/>
      <w:lvlText w:val=""/>
      <w:lvlJc w:val="left"/>
      <w:pPr>
        <w:ind w:left="3644" w:hanging="360"/>
      </w:pPr>
      <w:rPr>
        <w:rFonts w:ascii="Wingdings" w:hAnsi="Wingdings" w:hint="default"/>
      </w:rPr>
    </w:lvl>
    <w:lvl w:ilvl="3" w:tplc="08090001" w:tentative="1">
      <w:start w:val="1"/>
      <w:numFmt w:val="bullet"/>
      <w:lvlText w:val=""/>
      <w:lvlJc w:val="left"/>
      <w:pPr>
        <w:ind w:left="4364" w:hanging="360"/>
      </w:pPr>
      <w:rPr>
        <w:rFonts w:ascii="Symbol" w:hAnsi="Symbol" w:hint="default"/>
      </w:rPr>
    </w:lvl>
    <w:lvl w:ilvl="4" w:tplc="08090003" w:tentative="1">
      <w:start w:val="1"/>
      <w:numFmt w:val="bullet"/>
      <w:lvlText w:val="o"/>
      <w:lvlJc w:val="left"/>
      <w:pPr>
        <w:ind w:left="5084" w:hanging="360"/>
      </w:pPr>
      <w:rPr>
        <w:rFonts w:ascii="Courier New" w:hAnsi="Courier New" w:cs="Courier New" w:hint="default"/>
      </w:rPr>
    </w:lvl>
    <w:lvl w:ilvl="5" w:tplc="08090005" w:tentative="1">
      <w:start w:val="1"/>
      <w:numFmt w:val="bullet"/>
      <w:lvlText w:val=""/>
      <w:lvlJc w:val="left"/>
      <w:pPr>
        <w:ind w:left="5804" w:hanging="360"/>
      </w:pPr>
      <w:rPr>
        <w:rFonts w:ascii="Wingdings" w:hAnsi="Wingdings" w:hint="default"/>
      </w:rPr>
    </w:lvl>
    <w:lvl w:ilvl="6" w:tplc="08090001" w:tentative="1">
      <w:start w:val="1"/>
      <w:numFmt w:val="bullet"/>
      <w:lvlText w:val=""/>
      <w:lvlJc w:val="left"/>
      <w:pPr>
        <w:ind w:left="6524" w:hanging="360"/>
      </w:pPr>
      <w:rPr>
        <w:rFonts w:ascii="Symbol" w:hAnsi="Symbol" w:hint="default"/>
      </w:rPr>
    </w:lvl>
    <w:lvl w:ilvl="7" w:tplc="08090003" w:tentative="1">
      <w:start w:val="1"/>
      <w:numFmt w:val="bullet"/>
      <w:lvlText w:val="o"/>
      <w:lvlJc w:val="left"/>
      <w:pPr>
        <w:ind w:left="7244" w:hanging="360"/>
      </w:pPr>
      <w:rPr>
        <w:rFonts w:ascii="Courier New" w:hAnsi="Courier New" w:cs="Courier New" w:hint="default"/>
      </w:rPr>
    </w:lvl>
    <w:lvl w:ilvl="8" w:tplc="08090005" w:tentative="1">
      <w:start w:val="1"/>
      <w:numFmt w:val="bullet"/>
      <w:lvlText w:val=""/>
      <w:lvlJc w:val="left"/>
      <w:pPr>
        <w:ind w:left="7964" w:hanging="360"/>
      </w:pPr>
      <w:rPr>
        <w:rFonts w:ascii="Wingdings" w:hAnsi="Wingdings" w:hint="default"/>
      </w:rPr>
    </w:lvl>
  </w:abstractNum>
  <w:abstractNum w:abstractNumId="25" w15:restartNumberingAfterBreak="0">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26" w15:restartNumberingAfterBreak="0">
    <w:nsid w:val="785F35A5"/>
    <w:multiLevelType w:val="hybridMultilevel"/>
    <w:tmpl w:val="6C4ADC2E"/>
    <w:lvl w:ilvl="0" w:tplc="08090003">
      <w:start w:val="1"/>
      <w:numFmt w:val="bullet"/>
      <w:lvlText w:val="o"/>
      <w:lvlJc w:val="left"/>
      <w:pPr>
        <w:ind w:left="3870" w:hanging="360"/>
      </w:pPr>
      <w:rPr>
        <w:rFonts w:ascii="Courier New" w:hAnsi="Courier New" w:cs="Courier New" w:hint="default"/>
      </w:rPr>
    </w:lvl>
    <w:lvl w:ilvl="1" w:tplc="040C0003">
      <w:start w:val="1"/>
      <w:numFmt w:val="bullet"/>
      <w:lvlText w:val="o"/>
      <w:lvlJc w:val="left"/>
      <w:pPr>
        <w:ind w:left="4590" w:hanging="360"/>
      </w:pPr>
      <w:rPr>
        <w:rFonts w:ascii="Courier New" w:hAnsi="Courier New" w:cs="Courier New" w:hint="default"/>
      </w:rPr>
    </w:lvl>
    <w:lvl w:ilvl="2" w:tplc="040C0005" w:tentative="1">
      <w:start w:val="1"/>
      <w:numFmt w:val="bullet"/>
      <w:lvlText w:val=""/>
      <w:lvlJc w:val="left"/>
      <w:pPr>
        <w:ind w:left="5310" w:hanging="360"/>
      </w:pPr>
      <w:rPr>
        <w:rFonts w:ascii="Wingdings" w:hAnsi="Wingdings" w:hint="default"/>
      </w:rPr>
    </w:lvl>
    <w:lvl w:ilvl="3" w:tplc="040C0019">
      <w:start w:val="1"/>
      <w:numFmt w:val="lowerLetter"/>
      <w:lvlText w:val="%4."/>
      <w:lvlJc w:val="left"/>
      <w:pPr>
        <w:ind w:left="6030" w:hanging="360"/>
      </w:pPr>
      <w:rPr>
        <w:rFonts w:hint="default"/>
      </w:rPr>
    </w:lvl>
    <w:lvl w:ilvl="4" w:tplc="040C0003" w:tentative="1">
      <w:start w:val="1"/>
      <w:numFmt w:val="bullet"/>
      <w:lvlText w:val="o"/>
      <w:lvlJc w:val="left"/>
      <w:pPr>
        <w:ind w:left="6750" w:hanging="360"/>
      </w:pPr>
      <w:rPr>
        <w:rFonts w:ascii="Courier New" w:hAnsi="Courier New" w:cs="Courier New" w:hint="default"/>
      </w:rPr>
    </w:lvl>
    <w:lvl w:ilvl="5" w:tplc="040C0005" w:tentative="1">
      <w:start w:val="1"/>
      <w:numFmt w:val="bullet"/>
      <w:lvlText w:val=""/>
      <w:lvlJc w:val="left"/>
      <w:pPr>
        <w:ind w:left="7470" w:hanging="360"/>
      </w:pPr>
      <w:rPr>
        <w:rFonts w:ascii="Wingdings" w:hAnsi="Wingdings" w:hint="default"/>
      </w:rPr>
    </w:lvl>
    <w:lvl w:ilvl="6" w:tplc="040C0001" w:tentative="1">
      <w:start w:val="1"/>
      <w:numFmt w:val="bullet"/>
      <w:lvlText w:val=""/>
      <w:lvlJc w:val="left"/>
      <w:pPr>
        <w:ind w:left="8190" w:hanging="360"/>
      </w:pPr>
      <w:rPr>
        <w:rFonts w:ascii="Symbol" w:hAnsi="Symbol" w:hint="default"/>
      </w:rPr>
    </w:lvl>
    <w:lvl w:ilvl="7" w:tplc="040C0003" w:tentative="1">
      <w:start w:val="1"/>
      <w:numFmt w:val="bullet"/>
      <w:lvlText w:val="o"/>
      <w:lvlJc w:val="left"/>
      <w:pPr>
        <w:ind w:left="8910" w:hanging="360"/>
      </w:pPr>
      <w:rPr>
        <w:rFonts w:ascii="Courier New" w:hAnsi="Courier New" w:cs="Courier New" w:hint="default"/>
      </w:rPr>
    </w:lvl>
    <w:lvl w:ilvl="8" w:tplc="040C0005" w:tentative="1">
      <w:start w:val="1"/>
      <w:numFmt w:val="bullet"/>
      <w:lvlText w:val=""/>
      <w:lvlJc w:val="left"/>
      <w:pPr>
        <w:ind w:left="9630" w:hanging="360"/>
      </w:pPr>
      <w:rPr>
        <w:rFonts w:ascii="Wingdings" w:hAnsi="Wingdings" w:hint="default"/>
      </w:rPr>
    </w:lvl>
  </w:abstractNum>
  <w:num w:numId="1">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2">
    <w:abstractNumId w:val="5"/>
  </w:num>
  <w:num w:numId="3">
    <w:abstractNumId w:val="14"/>
  </w:num>
  <w:num w:numId="4">
    <w:abstractNumId w:val="20"/>
  </w:num>
  <w:num w:numId="5">
    <w:abstractNumId w:val="22"/>
    <w:lvlOverride w:ilvl="0">
      <w:startOverride w:val="1"/>
      <w:lvl w:ilvl="0">
        <w:start w:val="1"/>
        <w:numFmt w:val="decimal"/>
        <w:pStyle w:val="Normalnumber"/>
        <w:lvlText w:val="%1."/>
        <w:lvlJc w:val="left"/>
        <w:pPr>
          <w:tabs>
            <w:tab w:val="num" w:pos="3938"/>
          </w:tabs>
          <w:ind w:left="4618" w:firstLine="0"/>
        </w:pPr>
        <w:rPr>
          <w:rFonts w:hint="default"/>
        </w:rPr>
      </w:lvl>
    </w:lvlOverride>
    <w:lvlOverride w:ilvl="1">
      <w:startOverride w:val="1"/>
      <w:lvl w:ilvl="1">
        <w:start w:val="1"/>
        <w:numFmt w:val="lowerLetter"/>
        <w:lvlText w:val="%2)"/>
        <w:lvlJc w:val="left"/>
        <w:pPr>
          <w:tabs>
            <w:tab w:val="num" w:pos="1675"/>
          </w:tabs>
          <w:ind w:left="2355" w:firstLine="567"/>
        </w:pPr>
        <w:rPr>
          <w:rFonts w:hint="default"/>
        </w:rPr>
      </w:lvl>
    </w:lvlOverride>
    <w:lvlOverride w:ilvl="2">
      <w:startOverride w:val="1"/>
      <w:lvl w:ilvl="2">
        <w:start w:val="1"/>
        <w:numFmt w:val="lowerRoman"/>
        <w:lvlText w:val="%3)"/>
        <w:lvlJc w:val="left"/>
        <w:pPr>
          <w:tabs>
            <w:tab w:val="num" w:pos="1675"/>
          </w:tabs>
          <w:ind w:left="4056" w:hanging="567"/>
        </w:pPr>
        <w:rPr>
          <w:rFonts w:hint="default"/>
        </w:rPr>
      </w:lvl>
    </w:lvlOverride>
    <w:lvlOverride w:ilvl="3">
      <w:startOverride w:val="1"/>
      <w:lvl w:ilvl="3">
        <w:start w:val="1"/>
        <w:numFmt w:val="lowerLetter"/>
        <w:lvlText w:val="%4."/>
        <w:lvlJc w:val="left"/>
        <w:pPr>
          <w:tabs>
            <w:tab w:val="num" w:pos="1675"/>
          </w:tabs>
          <w:ind w:left="4623" w:hanging="567"/>
        </w:pPr>
        <w:rPr>
          <w:rFonts w:hint="default"/>
        </w:rPr>
      </w:lvl>
    </w:lvlOverride>
    <w:lvlOverride w:ilvl="4">
      <w:startOverride w:val="1"/>
      <w:lvl w:ilvl="4">
        <w:start w:val="1"/>
        <w:numFmt w:val="lowerRoman"/>
        <w:lvlText w:val="%5."/>
        <w:lvlJc w:val="left"/>
        <w:pPr>
          <w:tabs>
            <w:tab w:val="num" w:pos="1675"/>
          </w:tabs>
          <w:ind w:left="5190" w:hanging="567"/>
        </w:pPr>
        <w:rPr>
          <w:rFonts w:hint="default"/>
        </w:rPr>
      </w:lvl>
    </w:lvlOverride>
    <w:lvlOverride w:ilvl="5">
      <w:startOverride w:val="1"/>
      <w:lvl w:ilvl="5">
        <w:start w:val="1"/>
        <w:numFmt w:val="lowerRoman"/>
        <w:lvlText w:val="%6."/>
        <w:lvlJc w:val="right"/>
        <w:pPr>
          <w:tabs>
            <w:tab w:val="num" w:pos="8943"/>
          </w:tabs>
          <w:ind w:left="8943" w:hanging="180"/>
        </w:pPr>
        <w:rPr>
          <w:rFonts w:hint="default"/>
        </w:rPr>
      </w:lvl>
    </w:lvlOverride>
    <w:lvlOverride w:ilvl="6">
      <w:startOverride w:val="1"/>
      <w:lvl w:ilvl="6">
        <w:start w:val="1"/>
        <w:numFmt w:val="decimal"/>
        <w:lvlText w:val="%7."/>
        <w:lvlJc w:val="left"/>
        <w:pPr>
          <w:tabs>
            <w:tab w:val="num" w:pos="9663"/>
          </w:tabs>
          <w:ind w:left="9663" w:hanging="360"/>
        </w:pPr>
        <w:rPr>
          <w:rFonts w:hint="default"/>
        </w:rPr>
      </w:lvl>
    </w:lvlOverride>
    <w:lvlOverride w:ilvl="7">
      <w:startOverride w:val="1"/>
      <w:lvl w:ilvl="7">
        <w:start w:val="1"/>
        <w:numFmt w:val="lowerLetter"/>
        <w:lvlText w:val="%8."/>
        <w:lvlJc w:val="left"/>
        <w:pPr>
          <w:tabs>
            <w:tab w:val="num" w:pos="10383"/>
          </w:tabs>
          <w:ind w:left="10383" w:hanging="360"/>
        </w:pPr>
        <w:rPr>
          <w:rFonts w:hint="default"/>
        </w:rPr>
      </w:lvl>
    </w:lvlOverride>
    <w:lvlOverride w:ilvl="8">
      <w:startOverride w:val="1"/>
      <w:lvl w:ilvl="8">
        <w:start w:val="1"/>
        <w:numFmt w:val="lowerRoman"/>
        <w:lvlText w:val="%9."/>
        <w:lvlJc w:val="right"/>
        <w:pPr>
          <w:tabs>
            <w:tab w:val="num" w:pos="11103"/>
          </w:tabs>
          <w:ind w:left="11103" w:hanging="180"/>
        </w:pPr>
        <w:rPr>
          <w:rFonts w:hint="default"/>
        </w:rPr>
      </w:lvl>
    </w:lvlOverride>
  </w:num>
  <w:num w:numId="6">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7">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8">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9">
    <w:abstractNumId w:val="21"/>
    <w:lvlOverride w:ilvl="0">
      <w:lvl w:ilvl="0" w:tplc="6B38BBA4">
        <w:start w:val="1"/>
        <w:numFmt w:val="decimal"/>
        <w:lvlText w:val="%1."/>
        <w:lvlJc w:val="left"/>
        <w:pPr>
          <w:tabs>
            <w:tab w:val="left" w:pos="1134"/>
            <w:tab w:val="num" w:pos="1872"/>
          </w:tabs>
          <w:ind w:left="1170" w:firstLine="0"/>
        </w:pPr>
        <w:rPr>
          <w:rFonts w:hAnsi="Arial Unicode MS" w:cs="Times New Roman"/>
          <w:caps w:val="0"/>
          <w:smallCaps w:val="0"/>
          <w:strike w:val="0"/>
          <w:dstrike w:val="0"/>
          <w:outline w:val="0"/>
          <w:shadow w:val="0"/>
          <w:emboss w:val="0"/>
          <w:imprint w:val="0"/>
          <w:spacing w:val="0"/>
          <w:w w:val="100"/>
          <w:kern w:val="0"/>
          <w:position w:val="0"/>
          <w:sz w:val="20"/>
          <w:szCs w:val="20"/>
          <w:u w:val="none"/>
          <w:effect w:val="none"/>
          <w:vertAlign w:val="baseline"/>
        </w:rPr>
      </w:lvl>
    </w:lvlOverride>
    <w:lvlOverride w:ilvl="1">
      <w:lvl w:ilvl="1" w:tplc="2010832C">
        <w:start w:val="1"/>
        <w:numFmt w:val="lowerLetter"/>
        <w:lvlText w:val="%2)"/>
        <w:lvlJc w:val="left"/>
        <w:pPr>
          <w:tabs>
            <w:tab w:val="left" w:pos="1134"/>
            <w:tab w:val="left" w:pos="1247"/>
            <w:tab w:val="left" w:pos="1814"/>
            <w:tab w:val="num" w:pos="2381"/>
            <w:tab w:val="left" w:pos="2948"/>
            <w:tab w:val="left" w:pos="3515"/>
            <w:tab w:val="left" w:pos="4082"/>
          </w:tabs>
          <w:ind w:left="1247" w:firstLine="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left" w:pos="1247"/>
            <w:tab w:val="left" w:pos="1814"/>
            <w:tab w:val="left" w:pos="2381"/>
            <w:tab w:val="left" w:pos="3515"/>
            <w:tab w:val="left" w:pos="4082"/>
          </w:tabs>
          <w:ind w:left="2948"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left" w:pos="1247"/>
            <w:tab w:val="left" w:pos="1814"/>
            <w:tab w:val="left" w:pos="2381"/>
            <w:tab w:val="left" w:pos="2948"/>
            <w:tab w:val="left" w:pos="4082"/>
          </w:tabs>
          <w:ind w:left="3515"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left" w:pos="1247"/>
            <w:tab w:val="left" w:pos="1814"/>
            <w:tab w:val="left" w:pos="2381"/>
            <w:tab w:val="left" w:pos="2948"/>
            <w:tab w:val="left" w:pos="3515"/>
          </w:tabs>
          <w:ind w:left="4082" w:hanging="5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left" w:pos="1247"/>
            <w:tab w:val="left" w:pos="1814"/>
            <w:tab w:val="left" w:pos="2381"/>
            <w:tab w:val="left" w:pos="2948"/>
            <w:tab w:val="left" w:pos="3515"/>
            <w:tab w:val="left" w:pos="4082"/>
          </w:tabs>
          <w:ind w:left="783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left" w:pos="1247"/>
            <w:tab w:val="left" w:pos="1814"/>
            <w:tab w:val="left" w:pos="2381"/>
            <w:tab w:val="left" w:pos="2948"/>
            <w:tab w:val="left" w:pos="3515"/>
            <w:tab w:val="left" w:pos="4082"/>
          </w:tabs>
          <w:ind w:left="855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left" w:pos="1247"/>
            <w:tab w:val="left" w:pos="1814"/>
            <w:tab w:val="left" w:pos="2381"/>
            <w:tab w:val="left" w:pos="2948"/>
            <w:tab w:val="left" w:pos="3515"/>
            <w:tab w:val="left" w:pos="4082"/>
          </w:tabs>
          <w:ind w:left="9275" w:hanging="36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left" w:pos="1247"/>
            <w:tab w:val="left" w:pos="1814"/>
            <w:tab w:val="left" w:pos="2381"/>
            <w:tab w:val="left" w:pos="2948"/>
            <w:tab w:val="left" w:pos="3515"/>
            <w:tab w:val="left" w:pos="4082"/>
          </w:tabs>
          <w:ind w:left="9995" w:hanging="267"/>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lvl w:ilvl="0" w:tplc="088671F6">
        <w:start w:val="1"/>
        <w:numFmt w:val="bullet"/>
        <w:lvlText w:val=""/>
        <w:lvlJc w:val="left"/>
        <w:pPr>
          <w:tabs>
            <w:tab w:val="left" w:pos="624"/>
          </w:tabs>
          <w:ind w:left="2495" w:hanging="624"/>
        </w:pPr>
        <w:rPr>
          <w:rFonts w:ascii="Wingdings" w:hAnsi="Wingdings" w:hint="default"/>
          <w:b w:val="0"/>
          <w:i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lvl w:ilvl="1" w:tplc="1CDC76A4">
        <w:numFmt w:val="decimal"/>
        <w:lvlText w:val=""/>
        <w:lvlJc w:val="left"/>
      </w:lvl>
    </w:lvlOverride>
    <w:lvlOverride w:ilvl="2">
      <w:lvl w:ilvl="2" w:tplc="FC8C270C">
        <w:numFmt w:val="decimal"/>
        <w:lvlText w:val=""/>
        <w:lvlJc w:val="left"/>
      </w:lvl>
    </w:lvlOverride>
    <w:lvlOverride w:ilvl="3">
      <w:lvl w:ilvl="3" w:tplc="496872F2">
        <w:numFmt w:val="decimal"/>
        <w:lvlText w:val=""/>
        <w:lvlJc w:val="left"/>
      </w:lvl>
    </w:lvlOverride>
    <w:lvlOverride w:ilvl="4">
      <w:lvl w:ilvl="4" w:tplc="40F0BE72">
        <w:numFmt w:val="decimal"/>
        <w:lvlText w:val=""/>
        <w:lvlJc w:val="left"/>
      </w:lvl>
    </w:lvlOverride>
    <w:lvlOverride w:ilvl="5">
      <w:lvl w:ilvl="5" w:tplc="8ECCBBCA">
        <w:numFmt w:val="decimal"/>
        <w:lvlText w:val=""/>
        <w:lvlJc w:val="left"/>
      </w:lvl>
    </w:lvlOverride>
    <w:lvlOverride w:ilvl="6">
      <w:lvl w:ilvl="6" w:tplc="E16C8928">
        <w:numFmt w:val="decimal"/>
        <w:lvlText w:val=""/>
        <w:lvlJc w:val="left"/>
      </w:lvl>
    </w:lvlOverride>
    <w:lvlOverride w:ilvl="7">
      <w:lvl w:ilvl="7" w:tplc="594E75D6">
        <w:numFmt w:val="decimal"/>
        <w:lvlText w:val=""/>
        <w:lvlJc w:val="left"/>
      </w:lvl>
    </w:lvlOverride>
    <w:lvlOverride w:ilvl="8">
      <w:lvl w:ilvl="8" w:tplc="165C44CC">
        <w:numFmt w:val="decimal"/>
        <w:lvlText w:val=""/>
        <w:lvlJc w:val="left"/>
      </w:lvl>
    </w:lvlOverride>
  </w:num>
  <w:num w:numId="12">
    <w:abstractNumId w:val="21"/>
    <w:lvlOverride w:ilvl="0">
      <w:lvl w:ilvl="0" w:tplc="6B38BBA4">
        <w:start w:val="1"/>
        <w:numFmt w:val="decimal"/>
        <w:lvlText w:val="%1."/>
        <w:lvlJc w:val="left"/>
        <w:pPr>
          <w:tabs>
            <w:tab w:val="num" w:pos="1872"/>
          </w:tabs>
          <w:ind w:left="1247" w:firstLine="0"/>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1">
      <w:lvl w:ilvl="1" w:tplc="2010832C">
        <w:start w:val="1"/>
        <w:numFmt w:val="lowerLetter"/>
        <w:lvlText w:val="%2)"/>
        <w:lvlJc w:val="left"/>
        <w:pPr>
          <w:tabs>
            <w:tab w:val="left" w:pos="1134"/>
            <w:tab w:val="num" w:pos="2496"/>
          </w:tabs>
          <w:ind w:left="1247" w:firstLine="624"/>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2">
      <w:lvl w:ilvl="2" w:tplc="8E6C2BA4">
        <w:start w:val="1"/>
        <w:numFmt w:val="lowerRoman"/>
        <w:lvlText w:val="(%3)"/>
        <w:lvlJc w:val="left"/>
        <w:pPr>
          <w:tabs>
            <w:tab w:val="left" w:pos="1134"/>
            <w:tab w:val="num" w:pos="4197"/>
          </w:tabs>
          <w:ind w:left="2948"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3">
      <w:lvl w:ilvl="3" w:tplc="9B4E8D44">
        <w:start w:val="1"/>
        <w:numFmt w:val="lowerLetter"/>
        <w:lvlText w:val="%4."/>
        <w:lvlJc w:val="left"/>
        <w:pPr>
          <w:tabs>
            <w:tab w:val="left" w:pos="1134"/>
            <w:tab w:val="num" w:pos="4764"/>
          </w:tabs>
          <w:ind w:left="3515"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4">
      <w:lvl w:ilvl="4" w:tplc="047C88B0">
        <w:start w:val="1"/>
        <w:numFmt w:val="lowerRoman"/>
        <w:lvlText w:val="%5."/>
        <w:lvlJc w:val="left"/>
        <w:pPr>
          <w:tabs>
            <w:tab w:val="left" w:pos="1134"/>
            <w:tab w:val="num" w:pos="5331"/>
          </w:tabs>
          <w:ind w:left="4082" w:firstLine="7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5">
      <w:lvl w:ilvl="5" w:tplc="4586B8AA">
        <w:start w:val="1"/>
        <w:numFmt w:val="lowerRoman"/>
        <w:lvlText w:val="%6."/>
        <w:lvlJc w:val="left"/>
        <w:pPr>
          <w:tabs>
            <w:tab w:val="left" w:pos="1134"/>
            <w:tab w:val="num" w:pos="9084"/>
          </w:tabs>
          <w:ind w:left="783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6">
      <w:lvl w:ilvl="6" w:tplc="F1CE018A">
        <w:start w:val="1"/>
        <w:numFmt w:val="decimal"/>
        <w:lvlText w:val="%7."/>
        <w:lvlJc w:val="left"/>
        <w:pPr>
          <w:tabs>
            <w:tab w:val="left" w:pos="1134"/>
            <w:tab w:val="num" w:pos="9804"/>
          </w:tabs>
          <w:ind w:left="855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7">
      <w:lvl w:ilvl="7" w:tplc="79FA11B8">
        <w:start w:val="1"/>
        <w:numFmt w:val="lowerLetter"/>
        <w:lvlText w:val="%8."/>
        <w:lvlJc w:val="left"/>
        <w:pPr>
          <w:tabs>
            <w:tab w:val="left" w:pos="1134"/>
            <w:tab w:val="num" w:pos="10524"/>
          </w:tabs>
          <w:ind w:left="9275" w:firstLine="946"/>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lvlOverride w:ilvl="8">
      <w:lvl w:ilvl="8" w:tplc="04D26BA6">
        <w:start w:val="1"/>
        <w:numFmt w:val="lowerRoman"/>
        <w:lvlText w:val="%9."/>
        <w:lvlJc w:val="left"/>
        <w:pPr>
          <w:tabs>
            <w:tab w:val="left" w:pos="1134"/>
            <w:tab w:val="num" w:pos="11244"/>
          </w:tabs>
          <w:ind w:left="9995" w:firstLine="1039"/>
        </w:pPr>
        <w:rPr>
          <w:rFonts w:hAnsi="Arial Unicode MS" w:cs="Times New Roman"/>
          <w:caps w:val="0"/>
          <w:smallCaps w:val="0"/>
          <w:strike w:val="0"/>
          <w:dstrike w:val="0"/>
          <w:outline w:val="0"/>
          <w:shadow w:val="0"/>
          <w:emboss w:val="0"/>
          <w:imprint w:val="0"/>
          <w:spacing w:val="0"/>
          <w:w w:val="100"/>
          <w:kern w:val="0"/>
          <w:position w:val="0"/>
          <w:u w:val="none"/>
          <w:effect w:val="none"/>
          <w:vertAlign w:val="baseline"/>
        </w:rPr>
      </w:lvl>
    </w:lvlOverride>
  </w:num>
  <w:num w:numId="13">
    <w:abstractNumId w:val="23"/>
    <w:lvlOverride w:ilvl="0">
      <w:lvl w:ilvl="0" w:tplc="983A7B9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 w:val="left" w:pos="4082"/>
          </w:tabs>
          <w:ind w:left="1247" w:firstLine="0"/>
        </w:pPr>
        <w:rPr>
          <w:rFonts w:hAnsi="Arial Unicode MS"/>
          <w:i w:val="0"/>
          <w:caps w:val="0"/>
          <w:smallCaps w:val="0"/>
          <w:strike w:val="0"/>
          <w:dstrike w:val="0"/>
          <w:outline w:val="0"/>
          <w:emboss w:val="0"/>
          <w:imprint w:val="0"/>
          <w:color w:val="000000"/>
          <w:spacing w:val="0"/>
          <w:w w:val="100"/>
          <w:kern w:val="0"/>
          <w:position w:val="0"/>
          <w:highlight w:val="none"/>
          <w:vertAlign w:val="baseline"/>
        </w:rPr>
      </w:lvl>
    </w:lvlOverride>
  </w:num>
  <w:num w:numId="14">
    <w:abstractNumId w:val="23"/>
    <w:lvlOverride w:ilvl="0">
      <w:lvl w:ilvl="0" w:tplc="983A7B9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0628A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AE03AE">
        <w:start w:val="1"/>
        <w:numFmt w:val="lowerRoman"/>
        <w:suff w:val="nothing"/>
        <w:lvlText w:val="(%3)"/>
        <w:lvlJc w:val="left"/>
        <w:pPr>
          <w:tabs>
            <w:tab w:val="left" w:pos="624"/>
            <w:tab w:val="left" w:pos="1134"/>
            <w:tab w:val="left" w:pos="1247"/>
            <w:tab w:val="left" w:pos="1814"/>
            <w:tab w:val="left" w:pos="1871"/>
            <w:tab w:val="left" w:pos="2381"/>
            <w:tab w:val="left" w:pos="2495"/>
            <w:tab w:val="left" w:pos="2948"/>
            <w:tab w:val="left" w:pos="3119"/>
            <w:tab w:val="left" w:pos="3515"/>
          </w:tabs>
          <w:ind w:left="2495"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A0A654">
        <w:start w:val="1"/>
        <w:numFmt w:val="lowerLetter"/>
        <w:lvlText w:val="%4."/>
        <w:lvlJc w:val="left"/>
        <w:pPr>
          <w:tabs>
            <w:tab w:val="left" w:pos="624"/>
            <w:tab w:val="left" w:pos="1134"/>
            <w:tab w:val="left" w:pos="1247"/>
            <w:tab w:val="left" w:pos="1814"/>
            <w:tab w:val="left" w:pos="1871"/>
            <w:tab w:val="left" w:pos="2381"/>
            <w:tab w:val="left" w:pos="2495"/>
            <w:tab w:val="left" w:pos="2948"/>
            <w:tab w:val="left" w:pos="3119"/>
            <w:tab w:val="left" w:pos="3515"/>
            <w:tab w:val="num" w:pos="4253"/>
          </w:tabs>
          <w:ind w:left="3119" w:firstLine="96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2EA37A">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5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609C9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26BC3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6168D4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77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A4E83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86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5">
    <w:abstractNumId w:val="23"/>
    <w:lvlOverride w:ilvl="0">
      <w:lvl w:ilvl="0" w:tplc="983A7B98">
        <w:start w:val="1"/>
        <w:numFmt w:val="decimal"/>
        <w:lvlText w:val="%1."/>
        <w:lvlJc w:val="left"/>
        <w:pPr>
          <w:tabs>
            <w:tab w:val="num" w:pos="1814"/>
          </w:tabs>
          <w:ind w:left="1260"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0628AA">
        <w:start w:val="1"/>
        <w:numFmt w:val="lowerLetter"/>
        <w:lvlText w:val="%2)"/>
        <w:lvlJc w:val="left"/>
        <w:pPr>
          <w:tabs>
            <w:tab w:val="left" w:pos="624"/>
            <w:tab w:val="left" w:pos="1134"/>
            <w:tab w:val="left" w:pos="1247"/>
            <w:tab w:val="left" w:pos="1814"/>
            <w:tab w:val="left" w:pos="1871"/>
            <w:tab w:val="num" w:pos="2381"/>
            <w:tab w:val="left" w:pos="2495"/>
            <w:tab w:val="left" w:pos="2948"/>
            <w:tab w:val="left" w:pos="3119"/>
            <w:tab w:val="left" w:pos="3515"/>
          </w:tabs>
          <w:ind w:left="1247"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AE03AE">
        <w:start w:val="1"/>
        <w:numFmt w:val="lowerRoman"/>
        <w:lvlText w:val="(%3)"/>
        <w:lvlJc w:val="left"/>
        <w:pPr>
          <w:tabs>
            <w:tab w:val="left" w:pos="624"/>
            <w:tab w:val="left" w:pos="1134"/>
            <w:tab w:val="left" w:pos="1247"/>
            <w:tab w:val="left" w:pos="1814"/>
            <w:tab w:val="left" w:pos="1871"/>
            <w:tab w:val="left" w:pos="2381"/>
            <w:tab w:val="left" w:pos="2495"/>
            <w:tab w:val="left" w:pos="2948"/>
            <w:tab w:val="left" w:pos="3119"/>
            <w:tab w:val="left" w:pos="3515"/>
            <w:tab w:val="num" w:pos="4082"/>
          </w:tabs>
          <w:ind w:left="2948"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A0A654">
        <w:start w:val="1"/>
        <w:numFmt w:val="lowerLetter"/>
        <w:suff w:val="nothing"/>
        <w:lvlText w:val="%4."/>
        <w:lvlJc w:val="left"/>
        <w:pPr>
          <w:tabs>
            <w:tab w:val="left" w:pos="624"/>
            <w:tab w:val="left" w:pos="1134"/>
            <w:tab w:val="left" w:pos="1247"/>
            <w:tab w:val="left" w:pos="1814"/>
            <w:tab w:val="left" w:pos="1871"/>
            <w:tab w:val="left" w:pos="2381"/>
            <w:tab w:val="left" w:pos="2495"/>
            <w:tab w:val="left" w:pos="2948"/>
            <w:tab w:val="left" w:pos="3119"/>
            <w:tab w:val="left" w:pos="3515"/>
          </w:tabs>
          <w:ind w:left="3119" w:firstLine="102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2EA37A">
        <w:start w:val="1"/>
        <w:numFmt w:val="lowerRoman"/>
        <w:lvlText w:val="%5."/>
        <w:lvlJc w:val="left"/>
        <w:pPr>
          <w:tabs>
            <w:tab w:val="left" w:pos="624"/>
            <w:tab w:val="left" w:pos="1134"/>
            <w:tab w:val="left" w:pos="1247"/>
            <w:tab w:val="left" w:pos="1814"/>
            <w:tab w:val="left" w:pos="1871"/>
            <w:tab w:val="left" w:pos="2381"/>
            <w:tab w:val="left" w:pos="2495"/>
            <w:tab w:val="left" w:pos="2948"/>
            <w:tab w:val="left" w:pos="3119"/>
            <w:tab w:val="left" w:pos="3515"/>
            <w:tab w:val="num" w:pos="5216"/>
          </w:tabs>
          <w:ind w:left="4082" w:firstLine="6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609C96">
        <w:start w:val="1"/>
        <w:numFmt w:val="lowerRoman"/>
        <w:lvlText w:val="%6."/>
        <w:lvlJc w:val="left"/>
        <w:pPr>
          <w:tabs>
            <w:tab w:val="left" w:pos="624"/>
            <w:tab w:val="left" w:pos="1134"/>
            <w:tab w:val="left" w:pos="1247"/>
            <w:tab w:val="left" w:pos="1814"/>
            <w:tab w:val="left" w:pos="1871"/>
            <w:tab w:val="left" w:pos="2381"/>
            <w:tab w:val="left" w:pos="2495"/>
            <w:tab w:val="left" w:pos="2948"/>
            <w:tab w:val="left" w:pos="3119"/>
            <w:tab w:val="left" w:pos="3515"/>
            <w:tab w:val="num" w:pos="8969"/>
          </w:tabs>
          <w:ind w:left="783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26BC3C">
        <w:start w:val="1"/>
        <w:numFmt w:val="decimal"/>
        <w:lvlText w:val="%7."/>
        <w:lvlJc w:val="left"/>
        <w:pPr>
          <w:tabs>
            <w:tab w:val="left" w:pos="624"/>
            <w:tab w:val="left" w:pos="1134"/>
            <w:tab w:val="left" w:pos="1247"/>
            <w:tab w:val="left" w:pos="1814"/>
            <w:tab w:val="left" w:pos="1871"/>
            <w:tab w:val="left" w:pos="2381"/>
            <w:tab w:val="left" w:pos="2495"/>
            <w:tab w:val="left" w:pos="2948"/>
            <w:tab w:val="left" w:pos="3119"/>
            <w:tab w:val="left" w:pos="3515"/>
            <w:tab w:val="num" w:pos="9689"/>
          </w:tabs>
          <w:ind w:left="855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6168D44">
        <w:start w:val="1"/>
        <w:numFmt w:val="lowerLetter"/>
        <w:lvlText w:val="%8."/>
        <w:lvlJc w:val="left"/>
        <w:pPr>
          <w:tabs>
            <w:tab w:val="left" w:pos="624"/>
            <w:tab w:val="left" w:pos="1134"/>
            <w:tab w:val="left" w:pos="1247"/>
            <w:tab w:val="left" w:pos="1814"/>
            <w:tab w:val="left" w:pos="1871"/>
            <w:tab w:val="left" w:pos="2381"/>
            <w:tab w:val="left" w:pos="2495"/>
            <w:tab w:val="left" w:pos="2948"/>
            <w:tab w:val="left" w:pos="3119"/>
            <w:tab w:val="left" w:pos="3515"/>
            <w:tab w:val="num" w:pos="10409"/>
          </w:tabs>
          <w:ind w:left="9275" w:firstLine="831"/>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A4E834">
        <w:start w:val="1"/>
        <w:numFmt w:val="lowerRoman"/>
        <w:lvlText w:val="%9."/>
        <w:lvlJc w:val="left"/>
        <w:pPr>
          <w:tabs>
            <w:tab w:val="left" w:pos="624"/>
            <w:tab w:val="left" w:pos="1134"/>
            <w:tab w:val="left" w:pos="1247"/>
            <w:tab w:val="left" w:pos="1814"/>
            <w:tab w:val="left" w:pos="1871"/>
            <w:tab w:val="left" w:pos="2381"/>
            <w:tab w:val="left" w:pos="2495"/>
            <w:tab w:val="left" w:pos="2948"/>
            <w:tab w:val="left" w:pos="3119"/>
            <w:tab w:val="left" w:pos="3515"/>
            <w:tab w:val="num" w:pos="11129"/>
          </w:tabs>
          <w:ind w:left="9995" w:firstLine="92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6">
    <w:abstractNumId w:val="23"/>
    <w:lvlOverride w:ilvl="0">
      <w:lvl w:ilvl="0" w:tplc="983A7B98">
        <w:start w:val="1"/>
        <w:numFmt w:val="decimal"/>
        <w:lvlText w:val="%1."/>
        <w:lvlJc w:val="left"/>
        <w:pPr>
          <w:tabs>
            <w:tab w:val="left" w:pos="624"/>
            <w:tab w:val="left" w:pos="1134"/>
            <w:tab w:val="left" w:pos="1247"/>
            <w:tab w:val="num" w:pos="1814"/>
            <w:tab w:val="left" w:pos="1871"/>
            <w:tab w:val="left" w:pos="2381"/>
            <w:tab w:val="left" w:pos="2948"/>
            <w:tab w:val="left" w:pos="3119"/>
            <w:tab w:val="left" w:pos="3515"/>
          </w:tabs>
          <w:ind w:left="1259" w:firstLine="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E90628AA">
        <w:start w:val="1"/>
        <w:numFmt w:val="lowerLetter"/>
        <w:lvlText w:val="(%2)"/>
        <w:lvlJc w:val="left"/>
        <w:pPr>
          <w:tabs>
            <w:tab w:val="left" w:pos="624"/>
            <w:tab w:val="left" w:pos="1134"/>
            <w:tab w:val="left" w:pos="1247"/>
            <w:tab w:val="num" w:pos="1801"/>
            <w:tab w:val="left" w:pos="1814"/>
            <w:tab w:val="left" w:pos="1871"/>
            <w:tab w:val="left" w:pos="2381"/>
            <w:tab w:val="left" w:pos="2948"/>
            <w:tab w:val="left" w:pos="3119"/>
            <w:tab w:val="left" w:pos="3515"/>
          </w:tabs>
          <w:ind w:left="1246"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88AE03AE">
        <w:start w:val="1"/>
        <w:numFmt w:val="lowerRoman"/>
        <w:suff w:val="nothing"/>
        <w:lvlText w:val="(%3)"/>
        <w:lvlJc w:val="left"/>
        <w:pPr>
          <w:tabs>
            <w:tab w:val="left" w:pos="624"/>
            <w:tab w:val="left" w:pos="1134"/>
            <w:tab w:val="left" w:pos="1247"/>
            <w:tab w:val="left" w:pos="1814"/>
            <w:tab w:val="left" w:pos="1871"/>
            <w:tab w:val="left" w:pos="2381"/>
            <w:tab w:val="left" w:pos="2948"/>
            <w:tab w:val="left" w:pos="3119"/>
            <w:tab w:val="left" w:pos="3515"/>
          </w:tabs>
          <w:ind w:left="2494" w:firstLine="44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A0A0A654">
        <w:start w:val="1"/>
        <w:numFmt w:val="lowerLetter"/>
        <w:lvlText w:val="%4."/>
        <w:lvlJc w:val="left"/>
        <w:pPr>
          <w:tabs>
            <w:tab w:val="left" w:pos="624"/>
            <w:tab w:val="left" w:pos="1134"/>
            <w:tab w:val="left" w:pos="1247"/>
            <w:tab w:val="left" w:pos="1814"/>
            <w:tab w:val="left" w:pos="1871"/>
            <w:tab w:val="left" w:pos="2381"/>
            <w:tab w:val="left" w:pos="2948"/>
            <w:tab w:val="left" w:pos="3119"/>
            <w:tab w:val="left" w:pos="3515"/>
            <w:tab w:val="num" w:pos="3673"/>
          </w:tabs>
          <w:ind w:left="3118" w:firstLine="38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902EA37A">
        <w:start w:val="1"/>
        <w:numFmt w:val="lowerRoman"/>
        <w:lvlText w:val="%5."/>
        <w:lvlJc w:val="left"/>
        <w:pPr>
          <w:tabs>
            <w:tab w:val="left" w:pos="624"/>
            <w:tab w:val="left" w:pos="1134"/>
            <w:tab w:val="left" w:pos="1247"/>
            <w:tab w:val="left" w:pos="1814"/>
            <w:tab w:val="left" w:pos="1871"/>
            <w:tab w:val="left" w:pos="2381"/>
            <w:tab w:val="left" w:pos="2948"/>
            <w:tab w:val="left" w:pos="3119"/>
            <w:tab w:val="left" w:pos="3515"/>
            <w:tab w:val="num" w:pos="4636"/>
          </w:tabs>
          <w:ind w:left="4081" w:hanging="13"/>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0609C96">
        <w:start w:val="1"/>
        <w:numFmt w:val="lowerRoman"/>
        <w:lvlText w:val="%6."/>
        <w:lvlJc w:val="left"/>
        <w:pPr>
          <w:tabs>
            <w:tab w:val="left" w:pos="624"/>
            <w:tab w:val="left" w:pos="1134"/>
            <w:tab w:val="left" w:pos="1247"/>
            <w:tab w:val="left" w:pos="1814"/>
            <w:tab w:val="left" w:pos="1871"/>
            <w:tab w:val="left" w:pos="2381"/>
            <w:tab w:val="left" w:pos="2948"/>
            <w:tab w:val="left" w:pos="3119"/>
            <w:tab w:val="left" w:pos="3515"/>
            <w:tab w:val="num" w:pos="8389"/>
          </w:tabs>
          <w:ind w:left="783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926BC3C">
        <w:start w:val="1"/>
        <w:numFmt w:val="decimal"/>
        <w:lvlText w:val="%7."/>
        <w:lvlJc w:val="left"/>
        <w:pPr>
          <w:tabs>
            <w:tab w:val="left" w:pos="624"/>
            <w:tab w:val="left" w:pos="1134"/>
            <w:tab w:val="left" w:pos="1247"/>
            <w:tab w:val="left" w:pos="1814"/>
            <w:tab w:val="left" w:pos="1871"/>
            <w:tab w:val="left" w:pos="2381"/>
            <w:tab w:val="left" w:pos="2948"/>
            <w:tab w:val="left" w:pos="3119"/>
            <w:tab w:val="left" w:pos="3515"/>
            <w:tab w:val="num" w:pos="9109"/>
          </w:tabs>
          <w:ind w:left="855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D6168D44">
        <w:start w:val="1"/>
        <w:numFmt w:val="lowerLetter"/>
        <w:lvlText w:val="%8."/>
        <w:lvlJc w:val="left"/>
        <w:pPr>
          <w:tabs>
            <w:tab w:val="left" w:pos="624"/>
            <w:tab w:val="left" w:pos="1134"/>
            <w:tab w:val="left" w:pos="1247"/>
            <w:tab w:val="left" w:pos="1814"/>
            <w:tab w:val="left" w:pos="1871"/>
            <w:tab w:val="left" w:pos="2381"/>
            <w:tab w:val="left" w:pos="2948"/>
            <w:tab w:val="left" w:pos="3119"/>
            <w:tab w:val="left" w:pos="3515"/>
            <w:tab w:val="num" w:pos="9829"/>
          </w:tabs>
          <w:ind w:left="9274" w:firstLine="19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CBA4E834">
        <w:start w:val="1"/>
        <w:numFmt w:val="lowerRoman"/>
        <w:lvlText w:val="%9."/>
        <w:lvlJc w:val="left"/>
        <w:pPr>
          <w:tabs>
            <w:tab w:val="left" w:pos="624"/>
            <w:tab w:val="left" w:pos="1134"/>
            <w:tab w:val="left" w:pos="1247"/>
            <w:tab w:val="left" w:pos="1814"/>
            <w:tab w:val="left" w:pos="1871"/>
            <w:tab w:val="left" w:pos="2381"/>
            <w:tab w:val="left" w:pos="2948"/>
            <w:tab w:val="left" w:pos="3119"/>
            <w:tab w:val="left" w:pos="3515"/>
            <w:tab w:val="num" w:pos="10549"/>
          </w:tabs>
          <w:ind w:left="9994" w:firstLine="287"/>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7">
    <w:abstractNumId w:val="17"/>
    <w:lvlOverride w:ilvl="0">
      <w:lvl w:ilvl="0" w:tplc="781E9398">
        <w:start w:val="1"/>
        <w:numFmt w:val="decimal"/>
        <w:lvlText w:val="%1."/>
        <w:lvlJc w:val="left"/>
        <w:pPr>
          <w:ind w:left="720" w:hanging="360"/>
        </w:pPr>
        <w:rPr>
          <w:strike w:val="0"/>
        </w:rPr>
      </w:lvl>
    </w:lvlOverride>
  </w:num>
  <w:num w:numId="18">
    <w:abstractNumId w:val="11"/>
  </w:num>
  <w:num w:numId="19">
    <w:abstractNumId w:val="9"/>
  </w:num>
  <w:num w:numId="20">
    <w:abstractNumId w:val="8"/>
  </w:num>
  <w:num w:numId="21">
    <w:abstractNumId w:val="1"/>
  </w:num>
  <w:num w:numId="22">
    <w:abstractNumId w:val="3"/>
  </w:num>
  <w:num w:numId="23">
    <w:abstractNumId w:val="3"/>
    <w:lvlOverride w:ilvl="0">
      <w:lvl w:ilvl="0" w:tplc="FB1620EC">
        <w:start w:val="1"/>
        <w:numFmt w:val="lowerLetter"/>
        <w:lvlText w:val="%1)"/>
        <w:lvlJc w:val="left"/>
        <w:pPr>
          <w:tabs>
            <w:tab w:val="left" w:pos="1247"/>
            <w:tab w:val="left" w:pos="1814"/>
            <w:tab w:val="left" w:pos="2381"/>
            <w:tab w:val="left" w:pos="2948"/>
            <w:tab w:val="left" w:pos="3515"/>
            <w:tab w:val="left" w:pos="4082"/>
          </w:tabs>
          <w:ind w:left="217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670A55A2">
        <w:start w:val="1"/>
        <w:numFmt w:val="lowerLetter"/>
        <w:lvlText w:val="%2."/>
        <w:lvlJc w:val="left"/>
        <w:pPr>
          <w:tabs>
            <w:tab w:val="left" w:pos="1247"/>
            <w:tab w:val="left" w:pos="1814"/>
            <w:tab w:val="left" w:pos="2381"/>
            <w:tab w:val="left" w:pos="2948"/>
            <w:tab w:val="left" w:pos="3515"/>
            <w:tab w:val="left" w:pos="4082"/>
          </w:tabs>
          <w:ind w:left="28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DCE26D4">
        <w:start w:val="1"/>
        <w:numFmt w:val="lowerRoman"/>
        <w:lvlText w:val="%3."/>
        <w:lvlJc w:val="left"/>
        <w:pPr>
          <w:tabs>
            <w:tab w:val="left" w:pos="1247"/>
            <w:tab w:val="left" w:pos="1814"/>
            <w:tab w:val="left" w:pos="2381"/>
            <w:tab w:val="left" w:pos="2948"/>
            <w:tab w:val="left" w:pos="4082"/>
          </w:tabs>
          <w:ind w:left="3515" w:hanging="16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lvl w:ilvl="3" w:tplc="03F066EC">
        <w:start w:val="1"/>
        <w:numFmt w:val="decimal"/>
        <w:lvlText w:val="%4."/>
        <w:lvlJc w:val="left"/>
        <w:pPr>
          <w:tabs>
            <w:tab w:val="left" w:pos="1247"/>
            <w:tab w:val="left" w:pos="1814"/>
            <w:tab w:val="left" w:pos="2381"/>
            <w:tab w:val="left" w:pos="2948"/>
            <w:tab w:val="left" w:pos="3515"/>
          </w:tabs>
          <w:ind w:left="4082" w:hanging="10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lvl w:ilvl="4" w:tplc="06B80102">
        <w:start w:val="1"/>
        <w:numFmt w:val="lowerLetter"/>
        <w:lvlText w:val="%5."/>
        <w:lvlJc w:val="left"/>
        <w:pPr>
          <w:tabs>
            <w:tab w:val="left" w:pos="1247"/>
            <w:tab w:val="left" w:pos="1814"/>
            <w:tab w:val="left" w:pos="2381"/>
            <w:tab w:val="left" w:pos="2948"/>
            <w:tab w:val="left" w:pos="3515"/>
            <w:tab w:val="left" w:pos="4082"/>
          </w:tabs>
          <w:ind w:left="505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lvl w:ilvl="5" w:tplc="289E89AE">
        <w:start w:val="1"/>
        <w:numFmt w:val="lowerRoman"/>
        <w:lvlText w:val="%6."/>
        <w:lvlJc w:val="left"/>
        <w:pPr>
          <w:tabs>
            <w:tab w:val="left" w:pos="1247"/>
            <w:tab w:val="left" w:pos="1814"/>
            <w:tab w:val="left" w:pos="2381"/>
            <w:tab w:val="left" w:pos="2948"/>
            <w:tab w:val="left" w:pos="3515"/>
            <w:tab w:val="left" w:pos="4082"/>
          </w:tabs>
          <w:ind w:left="5774" w:hanging="26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lvl w:ilvl="6" w:tplc="5800661E">
        <w:start w:val="1"/>
        <w:numFmt w:val="decimal"/>
        <w:lvlText w:val="%7."/>
        <w:lvlJc w:val="left"/>
        <w:pPr>
          <w:tabs>
            <w:tab w:val="left" w:pos="1247"/>
            <w:tab w:val="left" w:pos="1814"/>
            <w:tab w:val="left" w:pos="2381"/>
            <w:tab w:val="left" w:pos="2948"/>
            <w:tab w:val="left" w:pos="3515"/>
            <w:tab w:val="left" w:pos="4082"/>
          </w:tabs>
          <w:ind w:left="649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lvl w:ilvl="7" w:tplc="0C0EBB24">
        <w:start w:val="1"/>
        <w:numFmt w:val="lowerLetter"/>
        <w:lvlText w:val="%8."/>
        <w:lvlJc w:val="left"/>
        <w:pPr>
          <w:tabs>
            <w:tab w:val="left" w:pos="1247"/>
            <w:tab w:val="left" w:pos="1814"/>
            <w:tab w:val="left" w:pos="2381"/>
            <w:tab w:val="left" w:pos="2948"/>
            <w:tab w:val="left" w:pos="3515"/>
            <w:tab w:val="left" w:pos="4082"/>
          </w:tabs>
          <w:ind w:left="7214" w:hanging="36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lvl w:ilvl="8" w:tplc="E7E603D6">
        <w:start w:val="1"/>
        <w:numFmt w:val="lowerRoman"/>
        <w:lvlText w:val="%9."/>
        <w:lvlJc w:val="left"/>
        <w:pPr>
          <w:tabs>
            <w:tab w:val="left" w:pos="1247"/>
            <w:tab w:val="left" w:pos="1814"/>
            <w:tab w:val="left" w:pos="2381"/>
            <w:tab w:val="left" w:pos="2948"/>
            <w:tab w:val="left" w:pos="3515"/>
            <w:tab w:val="left" w:pos="4082"/>
          </w:tabs>
          <w:ind w:left="7934" w:hanging="267"/>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4">
    <w:abstractNumId w:val="7"/>
  </w:num>
  <w:num w:numId="25">
    <w:abstractNumId w:val="16"/>
  </w:num>
  <w:num w:numId="26">
    <w:abstractNumId w:val="8"/>
    <w:lvlOverride w:ilvl="0">
      <w:startOverride w:val="2"/>
      <w:lvl w:ilvl="0" w:tplc="86DE7778">
        <w:start w:val="2"/>
        <w:numFmt w:val="decimal"/>
        <w:lvlText w:val="%1."/>
        <w:lvlJc w:val="left"/>
        <w:pPr>
          <w:tabs>
            <w:tab w:val="left" w:pos="597"/>
            <w:tab w:val="left" w:pos="1247"/>
            <w:tab w:val="num" w:pos="1814"/>
            <w:tab w:val="left" w:pos="2381"/>
            <w:tab w:val="left" w:pos="2948"/>
            <w:tab w:val="left" w:pos="3515"/>
          </w:tabs>
          <w:ind w:left="12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A6802A2C">
        <w:start w:val="1"/>
        <w:numFmt w:val="lowerLetter"/>
        <w:lvlText w:val="(%2)"/>
        <w:lvlJc w:val="left"/>
        <w:pPr>
          <w:tabs>
            <w:tab w:val="left" w:pos="597"/>
            <w:tab w:val="left" w:pos="1247"/>
            <w:tab w:val="num" w:pos="1784"/>
            <w:tab w:val="left" w:pos="1814"/>
            <w:tab w:val="left" w:pos="2381"/>
            <w:tab w:val="left" w:pos="2948"/>
            <w:tab w:val="left" w:pos="3515"/>
          </w:tabs>
          <w:ind w:left="1247"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4C34EBC8">
        <w:start w:val="1"/>
        <w:numFmt w:val="lowerRoman"/>
        <w:lvlText w:val="(%3)"/>
        <w:lvlJc w:val="left"/>
        <w:pPr>
          <w:tabs>
            <w:tab w:val="left" w:pos="597"/>
            <w:tab w:val="left" w:pos="1247"/>
            <w:tab w:val="left" w:pos="1814"/>
            <w:tab w:val="left" w:pos="2381"/>
            <w:tab w:val="left" w:pos="2948"/>
            <w:tab w:val="num" w:pos="3485"/>
            <w:tab w:val="left" w:pos="3515"/>
          </w:tabs>
          <w:ind w:left="2948"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052A5D04">
        <w:start w:val="1"/>
        <w:numFmt w:val="lowerLetter"/>
        <w:lvlText w:val="%4."/>
        <w:lvlJc w:val="left"/>
        <w:pPr>
          <w:tabs>
            <w:tab w:val="left" w:pos="597"/>
            <w:tab w:val="left" w:pos="1247"/>
            <w:tab w:val="left" w:pos="1814"/>
            <w:tab w:val="left" w:pos="2381"/>
            <w:tab w:val="left" w:pos="2948"/>
            <w:tab w:val="left" w:pos="3515"/>
            <w:tab w:val="num" w:pos="4052"/>
          </w:tabs>
          <w:ind w:left="3515" w:hanging="3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F948F614">
        <w:start w:val="1"/>
        <w:numFmt w:val="lowerLetter"/>
        <w:lvlText w:val="%5."/>
        <w:lvlJc w:val="left"/>
        <w:pPr>
          <w:tabs>
            <w:tab w:val="left" w:pos="597"/>
            <w:tab w:val="left" w:pos="1247"/>
            <w:tab w:val="left" w:pos="1814"/>
            <w:tab w:val="left" w:pos="2381"/>
            <w:tab w:val="left" w:pos="2948"/>
            <w:tab w:val="left" w:pos="3515"/>
            <w:tab w:val="num" w:pos="7085"/>
          </w:tabs>
          <w:ind w:left="654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FD5E8EBC">
        <w:start w:val="1"/>
        <w:numFmt w:val="lowerRoman"/>
        <w:lvlText w:val="%6."/>
        <w:lvlJc w:val="left"/>
        <w:pPr>
          <w:tabs>
            <w:tab w:val="left" w:pos="597"/>
            <w:tab w:val="left" w:pos="1247"/>
            <w:tab w:val="left" w:pos="1814"/>
            <w:tab w:val="left" w:pos="2381"/>
            <w:tab w:val="left" w:pos="2948"/>
            <w:tab w:val="left" w:pos="3515"/>
            <w:tab w:val="num" w:pos="7805"/>
          </w:tabs>
          <w:ind w:left="726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5BCAF046">
        <w:start w:val="1"/>
        <w:numFmt w:val="decimal"/>
        <w:lvlText w:val="%7."/>
        <w:lvlJc w:val="left"/>
        <w:pPr>
          <w:tabs>
            <w:tab w:val="left" w:pos="597"/>
            <w:tab w:val="left" w:pos="1247"/>
            <w:tab w:val="left" w:pos="1814"/>
            <w:tab w:val="left" w:pos="2381"/>
            <w:tab w:val="left" w:pos="2948"/>
            <w:tab w:val="left" w:pos="3515"/>
            <w:tab w:val="num" w:pos="8525"/>
          </w:tabs>
          <w:ind w:left="798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406617D2">
        <w:start w:val="1"/>
        <w:numFmt w:val="lowerLetter"/>
        <w:lvlText w:val="%8."/>
        <w:lvlJc w:val="left"/>
        <w:pPr>
          <w:tabs>
            <w:tab w:val="left" w:pos="597"/>
            <w:tab w:val="left" w:pos="1247"/>
            <w:tab w:val="left" w:pos="1814"/>
            <w:tab w:val="left" w:pos="2381"/>
            <w:tab w:val="left" w:pos="2948"/>
            <w:tab w:val="left" w:pos="3515"/>
            <w:tab w:val="num" w:pos="9245"/>
          </w:tabs>
          <w:ind w:left="8708" w:firstLine="17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2CDA1664">
        <w:start w:val="1"/>
        <w:numFmt w:val="lowerRoman"/>
        <w:lvlText w:val="%9."/>
        <w:lvlJc w:val="left"/>
        <w:pPr>
          <w:tabs>
            <w:tab w:val="left" w:pos="597"/>
            <w:tab w:val="left" w:pos="1247"/>
            <w:tab w:val="left" w:pos="1814"/>
            <w:tab w:val="left" w:pos="2381"/>
            <w:tab w:val="left" w:pos="2948"/>
            <w:tab w:val="left" w:pos="3515"/>
            <w:tab w:val="num" w:pos="9965"/>
          </w:tabs>
          <w:ind w:left="9428" w:firstLine="270"/>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7">
    <w:abstractNumId w:val="24"/>
    <w:lvlOverride w:ilvl="0">
      <w:lvl w:ilvl="0" w:tplc="088671F6">
        <w:start w:val="1"/>
        <w:numFmt w:val="bullet"/>
        <w:lvlText w:val=""/>
        <w:lvlJc w:val="left"/>
        <w:pPr>
          <w:ind w:left="2344" w:hanging="360"/>
        </w:pPr>
        <w:rPr>
          <w:rFonts w:ascii="Wingdings" w:hAnsi="Wingdings" w:hint="default"/>
          <w:b w:val="0"/>
          <w:i w:val="0"/>
          <w:caps w:val="0"/>
          <w:smallCaps w:val="0"/>
          <w:strike w:val="0"/>
          <w:dstrike w:val="0"/>
          <w:color w:val="000000"/>
          <w:spacing w:val="0"/>
          <w:w w:val="100"/>
          <w:kern w:val="0"/>
          <w:position w:val="0"/>
          <w:vertAlign w:val="baseline"/>
        </w:rPr>
      </w:lvl>
    </w:lvlOverride>
  </w:num>
  <w:num w:numId="28">
    <w:abstractNumId w:val="12"/>
    <w:lvlOverride w:ilvl="0">
      <w:lvl w:ilvl="0" w:tplc="9BEADC66">
        <w:start w:val="1"/>
        <w:numFmt w:val="decimal"/>
        <w:lvlText w:val="%1."/>
        <w:lvlJc w:val="left"/>
        <w:pPr>
          <w:ind w:left="720" w:hanging="360"/>
        </w:pPr>
        <w:rPr>
          <w:b w:val="0"/>
          <w:bCs/>
        </w:rPr>
      </w:lvl>
    </w:lvlOverride>
  </w:num>
  <w:num w:numId="29">
    <w:abstractNumId w:val="2"/>
    <w:lvlOverride w:ilvl="0">
      <w:lvl w:ilvl="0">
        <w:start w:val="1"/>
        <w:numFmt w:val="lowerLetter"/>
        <w:lvlText w:val="%1)"/>
        <w:lvlJc w:val="left"/>
        <w:pPr>
          <w:tabs>
            <w:tab w:val="num" w:pos="568"/>
          </w:tabs>
          <w:ind w:left="1248" w:firstLine="0"/>
        </w:pPr>
        <w:rPr>
          <w:rFonts w:hint="default"/>
        </w:rPr>
      </w:lvl>
    </w:lvlOverride>
  </w:num>
  <w:num w:numId="30">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1">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33">
    <w:abstractNumId w:val="15"/>
  </w:num>
  <w:num w:numId="34">
    <w:abstractNumId w:val="25"/>
  </w:num>
  <w:num w:numId="35">
    <w:abstractNumId w:val="13"/>
  </w:num>
  <w:num w:numId="36">
    <w:abstractNumId w:val="4"/>
  </w:num>
  <w:num w:numId="37">
    <w:abstractNumId w:val="18"/>
    <w:lvlOverride w:ilvl="0">
      <w:lvl w:ilvl="0" w:tplc="4D1CB634">
        <w:start w:val="1"/>
        <w:numFmt w:val="decimal"/>
        <w:lvlText w:val="%1."/>
        <w:lvlJc w:val="left"/>
        <w:pPr>
          <w:ind w:left="2231" w:hanging="360"/>
        </w:pPr>
        <w:rPr>
          <w:rFonts w:hint="default"/>
          <w:i w:val="0"/>
          <w:iCs/>
        </w:rPr>
      </w:lvl>
    </w:lvlOverride>
  </w:num>
  <w:num w:numId="38">
    <w:abstractNumId w:val="22"/>
    <w:lvlOverride w:ilvl="0">
      <w:lvl w:ilvl="0">
        <w:start w:val="1"/>
        <w:numFmt w:val="decimal"/>
        <w:pStyle w:val="Normalnumber"/>
        <w:lvlText w:val="%1."/>
        <w:lvlJc w:val="left"/>
        <w:pPr>
          <w:tabs>
            <w:tab w:val="num" w:pos="2830"/>
          </w:tabs>
          <w:ind w:left="3510"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9">
    <w:abstractNumId w:val="22"/>
    <w:lvlOverride w:ilvl="0">
      <w:startOverride w:val="1"/>
      <w:lvl w:ilvl="0">
        <w:start w:val="1"/>
        <w:numFmt w:val="decimal"/>
        <w:pStyle w:val="Normalnumber"/>
        <w:lvlText w:val="%1."/>
        <w:lvlJc w:val="left"/>
        <w:pPr>
          <w:tabs>
            <w:tab w:val="num" w:pos="2830"/>
          </w:tabs>
          <w:ind w:left="3510" w:firstLine="0"/>
        </w:pPr>
        <w:rPr>
          <w:rFonts w:hint="default"/>
          <w:b w:val="0"/>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0">
    <w:abstractNumId w:val="20"/>
    <w:lvlOverride w:ilvl="0">
      <w:lvl w:ilvl="0">
        <w:start w:val="1"/>
        <w:numFmt w:val="decimal"/>
        <w:pStyle w:val="Normalnumber"/>
        <w:lvlText w:val="%1."/>
        <w:lvlJc w:val="left"/>
        <w:pPr>
          <w:tabs>
            <w:tab w:val="num" w:pos="597"/>
          </w:tabs>
          <w:ind w:left="127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1">
    <w:abstractNumId w:val="20"/>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2">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3">
    <w:abstractNumId w:val="19"/>
  </w:num>
  <w:num w:numId="44">
    <w:abstractNumId w:val="26"/>
  </w:num>
  <w:num w:numId="45">
    <w:abstractNumId w:val="22"/>
    <w:lvlOverride w:ilvl="0">
      <w:startOverride w:val="1"/>
      <w:lvl w:ilvl="0">
        <w:start w:val="1"/>
        <w:numFmt w:val="decimal"/>
        <w:pStyle w:val="Normalnumber"/>
        <w:lvlText w:val="%1."/>
        <w:lvlJc w:val="left"/>
        <w:pPr>
          <w:tabs>
            <w:tab w:val="num" w:pos="2830"/>
          </w:tabs>
          <w:ind w:left="3510"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Roman"/>
        <w:lvlText w:val="%5."/>
        <w:lvlJc w:val="left"/>
        <w:pPr>
          <w:tabs>
            <w:tab w:val="num" w:pos="567"/>
          </w:tabs>
          <w:ind w:left="4082" w:hanging="567"/>
        </w:pPr>
        <w:rPr>
          <w:rFonts w:hint="default"/>
        </w:rPr>
      </w:lvl>
    </w:lvlOverride>
    <w:lvlOverride w:ilvl="5">
      <w:startOverride w:val="1"/>
      <w:lvl w:ilvl="5">
        <w:start w:val="1"/>
        <w:numFmt w:val="lowerRoman"/>
        <w:lvlText w:val="%6."/>
        <w:lvlJc w:val="right"/>
        <w:pPr>
          <w:tabs>
            <w:tab w:val="num" w:pos="7835"/>
          </w:tabs>
          <w:ind w:left="7835" w:hanging="180"/>
        </w:pPr>
        <w:rPr>
          <w:rFonts w:hint="default"/>
        </w:rPr>
      </w:lvl>
    </w:lvlOverride>
    <w:lvlOverride w:ilvl="6">
      <w:startOverride w:val="1"/>
      <w:lvl w:ilvl="6">
        <w:start w:val="1"/>
        <w:numFmt w:val="decimal"/>
        <w:lvlText w:val="%7."/>
        <w:lvlJc w:val="left"/>
        <w:pPr>
          <w:tabs>
            <w:tab w:val="num" w:pos="8555"/>
          </w:tabs>
          <w:ind w:left="8555" w:hanging="360"/>
        </w:pPr>
        <w:rPr>
          <w:rFonts w:hint="default"/>
        </w:rPr>
      </w:lvl>
    </w:lvlOverride>
    <w:lvlOverride w:ilvl="7">
      <w:startOverride w:val="1"/>
      <w:lvl w:ilvl="7">
        <w:start w:val="1"/>
        <w:numFmt w:val="lowerLetter"/>
        <w:lvlText w:val="%8."/>
        <w:lvlJc w:val="left"/>
        <w:pPr>
          <w:tabs>
            <w:tab w:val="num" w:pos="9275"/>
          </w:tabs>
          <w:ind w:left="9275" w:hanging="360"/>
        </w:pPr>
        <w:rPr>
          <w:rFonts w:hint="default"/>
        </w:rPr>
      </w:lvl>
    </w:lvlOverride>
    <w:lvlOverride w:ilvl="8">
      <w:startOverride w:val="1"/>
      <w:lvl w:ilvl="8">
        <w:start w:val="1"/>
        <w:numFmt w:val="lowerRoman"/>
        <w:lvlText w:val="%9."/>
        <w:lvlJc w:val="right"/>
        <w:pPr>
          <w:tabs>
            <w:tab w:val="num" w:pos="9995"/>
          </w:tabs>
          <w:ind w:left="9995" w:hanging="180"/>
        </w:pPr>
        <w:rPr>
          <w:rFonts w:hint="default"/>
        </w:rPr>
      </w:lvl>
    </w:lvlOverride>
  </w:num>
  <w:num w:numId="46">
    <w:abstractNumId w:val="24"/>
  </w:num>
  <w:num w:numId="47">
    <w:abstractNumId w:val="6"/>
  </w:num>
  <w:num w:numId="48">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9">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0">
    <w:abstractNumId w:val="22"/>
    <w:lvlOverride w:ilvl="0">
      <w:lvl w:ilvl="0">
        <w:start w:val="1"/>
        <w:numFmt w:val="decimal"/>
        <w:pStyle w:val="Normalnumber"/>
        <w:lvlText w:val="%1."/>
        <w:lvlJc w:val="left"/>
        <w:pPr>
          <w:tabs>
            <w:tab w:val="num" w:pos="2830"/>
          </w:tabs>
          <w:ind w:left="3510" w:firstLine="0"/>
        </w:pPr>
        <w:rPr>
          <w:rFonts w:hint="default"/>
          <w:color w:val="auto"/>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Roman"/>
        <w:lvlText w:val="%5."/>
        <w:lvlJc w:val="left"/>
        <w:pPr>
          <w:tabs>
            <w:tab w:val="num" w:pos="567"/>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0"/>
  <w:activeWritingStyle w:appName="MSWord" w:lang="fr-CA" w:vendorID="64" w:dllVersion="0" w:nlCheck="1" w:checkStyle="0"/>
  <w:activeWritingStyle w:appName="MSWord" w:lang="fr-CH" w:vendorID="64" w:dllVersion="0" w:nlCheck="1" w:checkStyle="0"/>
  <w:activeWritingStyle w:appName="MSWord" w:lang="es-ES_tradnl" w:vendorID="64" w:dllVersion="0" w:nlCheck="1" w:checkStyle="0"/>
  <w:proofState w:spelling="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E4A"/>
    <w:rsid w:val="0000181F"/>
    <w:rsid w:val="000022DE"/>
    <w:rsid w:val="000024A3"/>
    <w:rsid w:val="00002CC2"/>
    <w:rsid w:val="00002E10"/>
    <w:rsid w:val="00003533"/>
    <w:rsid w:val="000041A6"/>
    <w:rsid w:val="00005291"/>
    <w:rsid w:val="000077AD"/>
    <w:rsid w:val="000079F5"/>
    <w:rsid w:val="00007EFE"/>
    <w:rsid w:val="0001011B"/>
    <w:rsid w:val="000101A4"/>
    <w:rsid w:val="0001090A"/>
    <w:rsid w:val="0001146C"/>
    <w:rsid w:val="00011A16"/>
    <w:rsid w:val="0001290D"/>
    <w:rsid w:val="000149E6"/>
    <w:rsid w:val="00016E76"/>
    <w:rsid w:val="0001775E"/>
    <w:rsid w:val="000201F6"/>
    <w:rsid w:val="000204C0"/>
    <w:rsid w:val="00022246"/>
    <w:rsid w:val="00023BB8"/>
    <w:rsid w:val="00023CD6"/>
    <w:rsid w:val="00023DA9"/>
    <w:rsid w:val="000247B0"/>
    <w:rsid w:val="00026997"/>
    <w:rsid w:val="00026A08"/>
    <w:rsid w:val="0002734E"/>
    <w:rsid w:val="00030BA1"/>
    <w:rsid w:val="000311E3"/>
    <w:rsid w:val="000316FE"/>
    <w:rsid w:val="00031F83"/>
    <w:rsid w:val="00032E4E"/>
    <w:rsid w:val="00033260"/>
    <w:rsid w:val="00033E0B"/>
    <w:rsid w:val="0003406A"/>
    <w:rsid w:val="00034957"/>
    <w:rsid w:val="00034ABA"/>
    <w:rsid w:val="00034D91"/>
    <w:rsid w:val="00035EDE"/>
    <w:rsid w:val="000368A2"/>
    <w:rsid w:val="00037461"/>
    <w:rsid w:val="00037FC2"/>
    <w:rsid w:val="00040319"/>
    <w:rsid w:val="00041B93"/>
    <w:rsid w:val="000450C6"/>
    <w:rsid w:val="00045599"/>
    <w:rsid w:val="00046103"/>
    <w:rsid w:val="00046BA4"/>
    <w:rsid w:val="00047302"/>
    <w:rsid w:val="00047771"/>
    <w:rsid w:val="00047DD8"/>
    <w:rsid w:val="000509B4"/>
    <w:rsid w:val="0005148B"/>
    <w:rsid w:val="00051AD0"/>
    <w:rsid w:val="00051BDE"/>
    <w:rsid w:val="0005269E"/>
    <w:rsid w:val="00053D90"/>
    <w:rsid w:val="00054C92"/>
    <w:rsid w:val="0005611D"/>
    <w:rsid w:val="000571FE"/>
    <w:rsid w:val="0006035B"/>
    <w:rsid w:val="0006096F"/>
    <w:rsid w:val="0006147B"/>
    <w:rsid w:val="00062962"/>
    <w:rsid w:val="0006360F"/>
    <w:rsid w:val="000638A4"/>
    <w:rsid w:val="000649C5"/>
    <w:rsid w:val="00064C46"/>
    <w:rsid w:val="00064DA7"/>
    <w:rsid w:val="00065BAF"/>
    <w:rsid w:val="00065D93"/>
    <w:rsid w:val="00067E24"/>
    <w:rsid w:val="00070416"/>
    <w:rsid w:val="00070D93"/>
    <w:rsid w:val="000715D5"/>
    <w:rsid w:val="0007177C"/>
    <w:rsid w:val="00071886"/>
    <w:rsid w:val="00072B8E"/>
    <w:rsid w:val="00073EAE"/>
    <w:rsid w:val="000742BC"/>
    <w:rsid w:val="00074B42"/>
    <w:rsid w:val="00074BC0"/>
    <w:rsid w:val="00074C52"/>
    <w:rsid w:val="00074D99"/>
    <w:rsid w:val="00076156"/>
    <w:rsid w:val="00076304"/>
    <w:rsid w:val="0007676E"/>
    <w:rsid w:val="00076CC6"/>
    <w:rsid w:val="00076D49"/>
    <w:rsid w:val="0007707B"/>
    <w:rsid w:val="000771CB"/>
    <w:rsid w:val="00077AFE"/>
    <w:rsid w:val="00080067"/>
    <w:rsid w:val="000823D1"/>
    <w:rsid w:val="00082A0C"/>
    <w:rsid w:val="00083504"/>
    <w:rsid w:val="00084299"/>
    <w:rsid w:val="0008451B"/>
    <w:rsid w:val="00084E27"/>
    <w:rsid w:val="000858D7"/>
    <w:rsid w:val="00086E40"/>
    <w:rsid w:val="000872B1"/>
    <w:rsid w:val="00090ABA"/>
    <w:rsid w:val="0009104F"/>
    <w:rsid w:val="00091316"/>
    <w:rsid w:val="000943DC"/>
    <w:rsid w:val="000946B9"/>
    <w:rsid w:val="0009640C"/>
    <w:rsid w:val="00096772"/>
    <w:rsid w:val="000973FF"/>
    <w:rsid w:val="000976EB"/>
    <w:rsid w:val="000A060E"/>
    <w:rsid w:val="000A06B8"/>
    <w:rsid w:val="000A0CA1"/>
    <w:rsid w:val="000A0D9A"/>
    <w:rsid w:val="000A3260"/>
    <w:rsid w:val="000A3C77"/>
    <w:rsid w:val="000A469C"/>
    <w:rsid w:val="000A482A"/>
    <w:rsid w:val="000A5319"/>
    <w:rsid w:val="000A58D9"/>
    <w:rsid w:val="000A5BB6"/>
    <w:rsid w:val="000B20EB"/>
    <w:rsid w:val="000B22A2"/>
    <w:rsid w:val="000B26FB"/>
    <w:rsid w:val="000B3273"/>
    <w:rsid w:val="000B3E88"/>
    <w:rsid w:val="000B40E0"/>
    <w:rsid w:val="000B506B"/>
    <w:rsid w:val="000B73F9"/>
    <w:rsid w:val="000B7A49"/>
    <w:rsid w:val="000C0B42"/>
    <w:rsid w:val="000C21B2"/>
    <w:rsid w:val="000C22BB"/>
    <w:rsid w:val="000C22FE"/>
    <w:rsid w:val="000C297B"/>
    <w:rsid w:val="000C2A52"/>
    <w:rsid w:val="000C2A88"/>
    <w:rsid w:val="000C2BEA"/>
    <w:rsid w:val="000C30A4"/>
    <w:rsid w:val="000C38D6"/>
    <w:rsid w:val="000C5527"/>
    <w:rsid w:val="000C6223"/>
    <w:rsid w:val="000D1849"/>
    <w:rsid w:val="000D1B4C"/>
    <w:rsid w:val="000D212B"/>
    <w:rsid w:val="000D33C0"/>
    <w:rsid w:val="000D4906"/>
    <w:rsid w:val="000D4CF6"/>
    <w:rsid w:val="000D59BD"/>
    <w:rsid w:val="000D60A6"/>
    <w:rsid w:val="000D6941"/>
    <w:rsid w:val="000D6CC4"/>
    <w:rsid w:val="000D7F21"/>
    <w:rsid w:val="000D7F9F"/>
    <w:rsid w:val="000E2405"/>
    <w:rsid w:val="000E37D1"/>
    <w:rsid w:val="000E4188"/>
    <w:rsid w:val="000E599B"/>
    <w:rsid w:val="000E5E79"/>
    <w:rsid w:val="000E72FF"/>
    <w:rsid w:val="000E7319"/>
    <w:rsid w:val="000F084C"/>
    <w:rsid w:val="000F1049"/>
    <w:rsid w:val="000F1466"/>
    <w:rsid w:val="000F3850"/>
    <w:rsid w:val="000F4829"/>
    <w:rsid w:val="000F4902"/>
    <w:rsid w:val="000F4A9C"/>
    <w:rsid w:val="000F4D2A"/>
    <w:rsid w:val="000F5231"/>
    <w:rsid w:val="000F6644"/>
    <w:rsid w:val="000F6E38"/>
    <w:rsid w:val="000F7059"/>
    <w:rsid w:val="000F7919"/>
    <w:rsid w:val="000F7F62"/>
    <w:rsid w:val="00100115"/>
    <w:rsid w:val="00100B4A"/>
    <w:rsid w:val="00100EF4"/>
    <w:rsid w:val="00105827"/>
    <w:rsid w:val="001064CE"/>
    <w:rsid w:val="00107F6D"/>
    <w:rsid w:val="0011125B"/>
    <w:rsid w:val="001112D3"/>
    <w:rsid w:val="00112026"/>
    <w:rsid w:val="0011242B"/>
    <w:rsid w:val="00112FB8"/>
    <w:rsid w:val="001134E5"/>
    <w:rsid w:val="001135F0"/>
    <w:rsid w:val="00116A78"/>
    <w:rsid w:val="0011765B"/>
    <w:rsid w:val="00117FF0"/>
    <w:rsid w:val="001202E3"/>
    <w:rsid w:val="00120977"/>
    <w:rsid w:val="0012111A"/>
    <w:rsid w:val="00122114"/>
    <w:rsid w:val="0012272C"/>
    <w:rsid w:val="00123699"/>
    <w:rsid w:val="00123857"/>
    <w:rsid w:val="001241FB"/>
    <w:rsid w:val="001242AB"/>
    <w:rsid w:val="001245F8"/>
    <w:rsid w:val="00124979"/>
    <w:rsid w:val="00124C6F"/>
    <w:rsid w:val="00124F83"/>
    <w:rsid w:val="00126141"/>
    <w:rsid w:val="001267DB"/>
    <w:rsid w:val="00126EC1"/>
    <w:rsid w:val="001275C6"/>
    <w:rsid w:val="00127F08"/>
    <w:rsid w:val="00127F7E"/>
    <w:rsid w:val="0013016C"/>
    <w:rsid w:val="0013059D"/>
    <w:rsid w:val="00133699"/>
    <w:rsid w:val="00133CDD"/>
    <w:rsid w:val="00134D94"/>
    <w:rsid w:val="00134F13"/>
    <w:rsid w:val="00136187"/>
    <w:rsid w:val="00136BF7"/>
    <w:rsid w:val="001372AE"/>
    <w:rsid w:val="001376A0"/>
    <w:rsid w:val="00137B30"/>
    <w:rsid w:val="00137BFE"/>
    <w:rsid w:val="00140296"/>
    <w:rsid w:val="00140BC6"/>
    <w:rsid w:val="00140CF5"/>
    <w:rsid w:val="00140E75"/>
    <w:rsid w:val="00141A55"/>
    <w:rsid w:val="0014215A"/>
    <w:rsid w:val="0014293F"/>
    <w:rsid w:val="0014371E"/>
    <w:rsid w:val="0014397D"/>
    <w:rsid w:val="001446A3"/>
    <w:rsid w:val="00146DC1"/>
    <w:rsid w:val="0014776A"/>
    <w:rsid w:val="00147976"/>
    <w:rsid w:val="00150D60"/>
    <w:rsid w:val="00152B6B"/>
    <w:rsid w:val="00152E27"/>
    <w:rsid w:val="00153CDC"/>
    <w:rsid w:val="00154971"/>
    <w:rsid w:val="00155395"/>
    <w:rsid w:val="00155944"/>
    <w:rsid w:val="00155A2F"/>
    <w:rsid w:val="00155C65"/>
    <w:rsid w:val="00156B6B"/>
    <w:rsid w:val="00156E94"/>
    <w:rsid w:val="0015786E"/>
    <w:rsid w:val="00160D74"/>
    <w:rsid w:val="00162653"/>
    <w:rsid w:val="0016339E"/>
    <w:rsid w:val="001646EA"/>
    <w:rsid w:val="00164E5A"/>
    <w:rsid w:val="00167898"/>
    <w:rsid w:val="001679A0"/>
    <w:rsid w:val="00167D02"/>
    <w:rsid w:val="0017069E"/>
    <w:rsid w:val="001721A2"/>
    <w:rsid w:val="00172D6A"/>
    <w:rsid w:val="00173A45"/>
    <w:rsid w:val="00173C3F"/>
    <w:rsid w:val="00174352"/>
    <w:rsid w:val="00175052"/>
    <w:rsid w:val="00175351"/>
    <w:rsid w:val="00175765"/>
    <w:rsid w:val="001759D8"/>
    <w:rsid w:val="00175C38"/>
    <w:rsid w:val="00177D7F"/>
    <w:rsid w:val="00180A4B"/>
    <w:rsid w:val="00180C3F"/>
    <w:rsid w:val="00180DAF"/>
    <w:rsid w:val="00181E13"/>
    <w:rsid w:val="00181EC8"/>
    <w:rsid w:val="001822AB"/>
    <w:rsid w:val="00184349"/>
    <w:rsid w:val="00185D82"/>
    <w:rsid w:val="00185F42"/>
    <w:rsid w:val="00185F87"/>
    <w:rsid w:val="00186054"/>
    <w:rsid w:val="0019040A"/>
    <w:rsid w:val="00195142"/>
    <w:rsid w:val="00195F33"/>
    <w:rsid w:val="00196063"/>
    <w:rsid w:val="001960B1"/>
    <w:rsid w:val="00197040"/>
    <w:rsid w:val="001A06D8"/>
    <w:rsid w:val="001A1D62"/>
    <w:rsid w:val="001A23B0"/>
    <w:rsid w:val="001A2A68"/>
    <w:rsid w:val="001A34A9"/>
    <w:rsid w:val="001A5446"/>
    <w:rsid w:val="001A6B72"/>
    <w:rsid w:val="001B1617"/>
    <w:rsid w:val="001B1C51"/>
    <w:rsid w:val="001B1DC6"/>
    <w:rsid w:val="001B2512"/>
    <w:rsid w:val="001B260F"/>
    <w:rsid w:val="001B500C"/>
    <w:rsid w:val="001B504B"/>
    <w:rsid w:val="001B6514"/>
    <w:rsid w:val="001B6F98"/>
    <w:rsid w:val="001B724A"/>
    <w:rsid w:val="001C07F1"/>
    <w:rsid w:val="001C082D"/>
    <w:rsid w:val="001C191A"/>
    <w:rsid w:val="001C3EFD"/>
    <w:rsid w:val="001C4536"/>
    <w:rsid w:val="001C49E6"/>
    <w:rsid w:val="001C75B3"/>
    <w:rsid w:val="001C7707"/>
    <w:rsid w:val="001D0B86"/>
    <w:rsid w:val="001D0EB9"/>
    <w:rsid w:val="001D1749"/>
    <w:rsid w:val="001D29A5"/>
    <w:rsid w:val="001D34EB"/>
    <w:rsid w:val="001D3874"/>
    <w:rsid w:val="001D4158"/>
    <w:rsid w:val="001D5DE3"/>
    <w:rsid w:val="001D7E75"/>
    <w:rsid w:val="001E0512"/>
    <w:rsid w:val="001E0D73"/>
    <w:rsid w:val="001E2004"/>
    <w:rsid w:val="001E3AA2"/>
    <w:rsid w:val="001E4011"/>
    <w:rsid w:val="001E45BD"/>
    <w:rsid w:val="001E4BB1"/>
    <w:rsid w:val="001E518D"/>
    <w:rsid w:val="001E53B8"/>
    <w:rsid w:val="001E56D2"/>
    <w:rsid w:val="001E7219"/>
    <w:rsid w:val="001E7833"/>
    <w:rsid w:val="001E7AB5"/>
    <w:rsid w:val="001E7D56"/>
    <w:rsid w:val="001F1E77"/>
    <w:rsid w:val="001F2420"/>
    <w:rsid w:val="001F2CB1"/>
    <w:rsid w:val="001F322B"/>
    <w:rsid w:val="001F3C42"/>
    <w:rsid w:val="001F436E"/>
    <w:rsid w:val="001F4656"/>
    <w:rsid w:val="001F4BA8"/>
    <w:rsid w:val="001F5887"/>
    <w:rsid w:val="001F6305"/>
    <w:rsid w:val="001F75DE"/>
    <w:rsid w:val="001F7B3E"/>
    <w:rsid w:val="00200D58"/>
    <w:rsid w:val="00200F83"/>
    <w:rsid w:val="002011C1"/>
    <w:rsid w:val="002013BE"/>
    <w:rsid w:val="00201EDC"/>
    <w:rsid w:val="00202D9C"/>
    <w:rsid w:val="00203986"/>
    <w:rsid w:val="00204062"/>
    <w:rsid w:val="00204649"/>
    <w:rsid w:val="00204E4E"/>
    <w:rsid w:val="002063A4"/>
    <w:rsid w:val="00207464"/>
    <w:rsid w:val="00210B6F"/>
    <w:rsid w:val="0021145B"/>
    <w:rsid w:val="002124E3"/>
    <w:rsid w:val="002129AB"/>
    <w:rsid w:val="00213A3A"/>
    <w:rsid w:val="00214C86"/>
    <w:rsid w:val="00215572"/>
    <w:rsid w:val="00216BC1"/>
    <w:rsid w:val="00217058"/>
    <w:rsid w:val="0021743E"/>
    <w:rsid w:val="00217FC6"/>
    <w:rsid w:val="0022002F"/>
    <w:rsid w:val="00220C23"/>
    <w:rsid w:val="00222433"/>
    <w:rsid w:val="00222F7C"/>
    <w:rsid w:val="002231F2"/>
    <w:rsid w:val="00223DE4"/>
    <w:rsid w:val="002243C2"/>
    <w:rsid w:val="002247F6"/>
    <w:rsid w:val="00224DD6"/>
    <w:rsid w:val="00225E21"/>
    <w:rsid w:val="00226F07"/>
    <w:rsid w:val="002276DD"/>
    <w:rsid w:val="002277C9"/>
    <w:rsid w:val="00227AA1"/>
    <w:rsid w:val="00230C73"/>
    <w:rsid w:val="002313A8"/>
    <w:rsid w:val="00234E78"/>
    <w:rsid w:val="00235179"/>
    <w:rsid w:val="0023572B"/>
    <w:rsid w:val="00236927"/>
    <w:rsid w:val="00240AE4"/>
    <w:rsid w:val="00241834"/>
    <w:rsid w:val="00243266"/>
    <w:rsid w:val="00243727"/>
    <w:rsid w:val="0024375B"/>
    <w:rsid w:val="00243D36"/>
    <w:rsid w:val="00244D2D"/>
    <w:rsid w:val="0024586F"/>
    <w:rsid w:val="00246151"/>
    <w:rsid w:val="002464BE"/>
    <w:rsid w:val="00246A39"/>
    <w:rsid w:val="002473D9"/>
    <w:rsid w:val="00247707"/>
    <w:rsid w:val="002478D3"/>
    <w:rsid w:val="00247998"/>
    <w:rsid w:val="00247D22"/>
    <w:rsid w:val="00250C43"/>
    <w:rsid w:val="002525C0"/>
    <w:rsid w:val="00252FEA"/>
    <w:rsid w:val="00253F58"/>
    <w:rsid w:val="00255782"/>
    <w:rsid w:val="00255D9A"/>
    <w:rsid w:val="00256EFC"/>
    <w:rsid w:val="0026018E"/>
    <w:rsid w:val="00260281"/>
    <w:rsid w:val="00260D13"/>
    <w:rsid w:val="00263D88"/>
    <w:rsid w:val="002656AE"/>
    <w:rsid w:val="00265804"/>
    <w:rsid w:val="00266A31"/>
    <w:rsid w:val="00266A57"/>
    <w:rsid w:val="002677F9"/>
    <w:rsid w:val="0026795C"/>
    <w:rsid w:val="00267D44"/>
    <w:rsid w:val="00270268"/>
    <w:rsid w:val="0027029C"/>
    <w:rsid w:val="0027128B"/>
    <w:rsid w:val="002735FD"/>
    <w:rsid w:val="002738E4"/>
    <w:rsid w:val="0027629D"/>
    <w:rsid w:val="00277F0D"/>
    <w:rsid w:val="00280153"/>
    <w:rsid w:val="00280186"/>
    <w:rsid w:val="00280A9E"/>
    <w:rsid w:val="00280C10"/>
    <w:rsid w:val="0028141A"/>
    <w:rsid w:val="00281849"/>
    <w:rsid w:val="00282245"/>
    <w:rsid w:val="00284FB1"/>
    <w:rsid w:val="00286740"/>
    <w:rsid w:val="00286BD3"/>
    <w:rsid w:val="002907D8"/>
    <w:rsid w:val="00291EAE"/>
    <w:rsid w:val="00292693"/>
    <w:rsid w:val="002929D8"/>
    <w:rsid w:val="002931BC"/>
    <w:rsid w:val="00293590"/>
    <w:rsid w:val="00293CDC"/>
    <w:rsid w:val="002959C0"/>
    <w:rsid w:val="00296B5A"/>
    <w:rsid w:val="0029714A"/>
    <w:rsid w:val="00297492"/>
    <w:rsid w:val="002A00EB"/>
    <w:rsid w:val="002A0527"/>
    <w:rsid w:val="002A237D"/>
    <w:rsid w:val="002A3007"/>
    <w:rsid w:val="002A3008"/>
    <w:rsid w:val="002A438A"/>
    <w:rsid w:val="002A4A0A"/>
    <w:rsid w:val="002A4C53"/>
    <w:rsid w:val="002A6539"/>
    <w:rsid w:val="002A6FAC"/>
    <w:rsid w:val="002A7DA5"/>
    <w:rsid w:val="002B0672"/>
    <w:rsid w:val="002B06AD"/>
    <w:rsid w:val="002B0A8A"/>
    <w:rsid w:val="002B0CDB"/>
    <w:rsid w:val="002B1420"/>
    <w:rsid w:val="002B1CA8"/>
    <w:rsid w:val="002B247F"/>
    <w:rsid w:val="002B2C46"/>
    <w:rsid w:val="002B3052"/>
    <w:rsid w:val="002B46F0"/>
    <w:rsid w:val="002B50D4"/>
    <w:rsid w:val="002B58BF"/>
    <w:rsid w:val="002B5E8F"/>
    <w:rsid w:val="002B6354"/>
    <w:rsid w:val="002B702C"/>
    <w:rsid w:val="002B78BF"/>
    <w:rsid w:val="002B78ED"/>
    <w:rsid w:val="002C145D"/>
    <w:rsid w:val="002C1501"/>
    <w:rsid w:val="002C1B41"/>
    <w:rsid w:val="002C1BAB"/>
    <w:rsid w:val="002C2852"/>
    <w:rsid w:val="002C2C3E"/>
    <w:rsid w:val="002C3B79"/>
    <w:rsid w:val="002C5301"/>
    <w:rsid w:val="002C533E"/>
    <w:rsid w:val="002C5D5A"/>
    <w:rsid w:val="002C5E36"/>
    <w:rsid w:val="002C691F"/>
    <w:rsid w:val="002C6E4F"/>
    <w:rsid w:val="002D027F"/>
    <w:rsid w:val="002D067F"/>
    <w:rsid w:val="002D1688"/>
    <w:rsid w:val="002D1F46"/>
    <w:rsid w:val="002D20E8"/>
    <w:rsid w:val="002D3A53"/>
    <w:rsid w:val="002D3E15"/>
    <w:rsid w:val="002D5273"/>
    <w:rsid w:val="002D5C5E"/>
    <w:rsid w:val="002D5FB9"/>
    <w:rsid w:val="002D64FF"/>
    <w:rsid w:val="002D7343"/>
    <w:rsid w:val="002D7A85"/>
    <w:rsid w:val="002D7B60"/>
    <w:rsid w:val="002E06D1"/>
    <w:rsid w:val="002E149C"/>
    <w:rsid w:val="002E26FC"/>
    <w:rsid w:val="002E4C4E"/>
    <w:rsid w:val="002E57D3"/>
    <w:rsid w:val="002E5C38"/>
    <w:rsid w:val="002E7D56"/>
    <w:rsid w:val="002F04E4"/>
    <w:rsid w:val="002F4761"/>
    <w:rsid w:val="002F48F4"/>
    <w:rsid w:val="002F5C79"/>
    <w:rsid w:val="002F5D57"/>
    <w:rsid w:val="002F610B"/>
    <w:rsid w:val="002F62ED"/>
    <w:rsid w:val="002F68EE"/>
    <w:rsid w:val="00300A47"/>
    <w:rsid w:val="003018A6"/>
    <w:rsid w:val="003019E2"/>
    <w:rsid w:val="00303BEF"/>
    <w:rsid w:val="00306155"/>
    <w:rsid w:val="00306AB8"/>
    <w:rsid w:val="00306BA6"/>
    <w:rsid w:val="00306D9E"/>
    <w:rsid w:val="00306E35"/>
    <w:rsid w:val="00307F3B"/>
    <w:rsid w:val="00310BEB"/>
    <w:rsid w:val="00310C7A"/>
    <w:rsid w:val="0031230B"/>
    <w:rsid w:val="00313CE0"/>
    <w:rsid w:val="0031413F"/>
    <w:rsid w:val="00314854"/>
    <w:rsid w:val="003148BB"/>
    <w:rsid w:val="003158D0"/>
    <w:rsid w:val="00315B31"/>
    <w:rsid w:val="00316188"/>
    <w:rsid w:val="00316FF1"/>
    <w:rsid w:val="00317976"/>
    <w:rsid w:val="00317E63"/>
    <w:rsid w:val="0032010D"/>
    <w:rsid w:val="00320F2F"/>
    <w:rsid w:val="00321026"/>
    <w:rsid w:val="00321450"/>
    <w:rsid w:val="00322697"/>
    <w:rsid w:val="00322705"/>
    <w:rsid w:val="003240F2"/>
    <w:rsid w:val="0032457E"/>
    <w:rsid w:val="00325D38"/>
    <w:rsid w:val="0032790C"/>
    <w:rsid w:val="0033008D"/>
    <w:rsid w:val="0033316E"/>
    <w:rsid w:val="00334244"/>
    <w:rsid w:val="00335767"/>
    <w:rsid w:val="0033629C"/>
    <w:rsid w:val="00337309"/>
    <w:rsid w:val="00337539"/>
    <w:rsid w:val="00340564"/>
    <w:rsid w:val="003407F9"/>
    <w:rsid w:val="00341E98"/>
    <w:rsid w:val="00344527"/>
    <w:rsid w:val="00344ED3"/>
    <w:rsid w:val="003456C9"/>
    <w:rsid w:val="003467EB"/>
    <w:rsid w:val="0034745B"/>
    <w:rsid w:val="0034792A"/>
    <w:rsid w:val="00351D70"/>
    <w:rsid w:val="00351DF5"/>
    <w:rsid w:val="0035277E"/>
    <w:rsid w:val="00352940"/>
    <w:rsid w:val="00353184"/>
    <w:rsid w:val="003544BB"/>
    <w:rsid w:val="00354E4C"/>
    <w:rsid w:val="00355EA9"/>
    <w:rsid w:val="00356D88"/>
    <w:rsid w:val="00356F46"/>
    <w:rsid w:val="003573BF"/>
    <w:rsid w:val="003578DE"/>
    <w:rsid w:val="00360044"/>
    <w:rsid w:val="00360A24"/>
    <w:rsid w:val="00361378"/>
    <w:rsid w:val="00361688"/>
    <w:rsid w:val="00361F43"/>
    <w:rsid w:val="003627F9"/>
    <w:rsid w:val="00362C4F"/>
    <w:rsid w:val="00362CA8"/>
    <w:rsid w:val="00363CA5"/>
    <w:rsid w:val="00366DEC"/>
    <w:rsid w:val="003703B8"/>
    <w:rsid w:val="00371D89"/>
    <w:rsid w:val="00371E75"/>
    <w:rsid w:val="0037412B"/>
    <w:rsid w:val="003753B1"/>
    <w:rsid w:val="00375513"/>
    <w:rsid w:val="003803CD"/>
    <w:rsid w:val="00383E58"/>
    <w:rsid w:val="0038408D"/>
    <w:rsid w:val="003841ED"/>
    <w:rsid w:val="00384EDF"/>
    <w:rsid w:val="00386494"/>
    <w:rsid w:val="00386C3F"/>
    <w:rsid w:val="003877D5"/>
    <w:rsid w:val="003878B2"/>
    <w:rsid w:val="003879C2"/>
    <w:rsid w:val="0039024C"/>
    <w:rsid w:val="00390ABA"/>
    <w:rsid w:val="00390FBD"/>
    <w:rsid w:val="00391A9A"/>
    <w:rsid w:val="003929B8"/>
    <w:rsid w:val="00393432"/>
    <w:rsid w:val="00393AFC"/>
    <w:rsid w:val="003946C7"/>
    <w:rsid w:val="00396257"/>
    <w:rsid w:val="0039699F"/>
    <w:rsid w:val="00396B0D"/>
    <w:rsid w:val="0039796B"/>
    <w:rsid w:val="00397EB8"/>
    <w:rsid w:val="00397FE4"/>
    <w:rsid w:val="003A0103"/>
    <w:rsid w:val="003A1ABC"/>
    <w:rsid w:val="003A1B4C"/>
    <w:rsid w:val="003A1E40"/>
    <w:rsid w:val="003A4FD0"/>
    <w:rsid w:val="003A54D4"/>
    <w:rsid w:val="003A5671"/>
    <w:rsid w:val="003A69D1"/>
    <w:rsid w:val="003A70B9"/>
    <w:rsid w:val="003A76B1"/>
    <w:rsid w:val="003A7705"/>
    <w:rsid w:val="003A77F1"/>
    <w:rsid w:val="003A7B61"/>
    <w:rsid w:val="003B1545"/>
    <w:rsid w:val="003B2EEF"/>
    <w:rsid w:val="003B4B9D"/>
    <w:rsid w:val="003B4E0F"/>
    <w:rsid w:val="003B57F8"/>
    <w:rsid w:val="003C1432"/>
    <w:rsid w:val="003C19C3"/>
    <w:rsid w:val="003C25AF"/>
    <w:rsid w:val="003C3219"/>
    <w:rsid w:val="003C33F7"/>
    <w:rsid w:val="003C3478"/>
    <w:rsid w:val="003C3AFC"/>
    <w:rsid w:val="003C3E11"/>
    <w:rsid w:val="003C3ECE"/>
    <w:rsid w:val="003C409D"/>
    <w:rsid w:val="003C485A"/>
    <w:rsid w:val="003C4A79"/>
    <w:rsid w:val="003C53F0"/>
    <w:rsid w:val="003C5583"/>
    <w:rsid w:val="003C59BA"/>
    <w:rsid w:val="003C5AC0"/>
    <w:rsid w:val="003C5BA6"/>
    <w:rsid w:val="003C5D84"/>
    <w:rsid w:val="003C61E3"/>
    <w:rsid w:val="003C74CF"/>
    <w:rsid w:val="003C7545"/>
    <w:rsid w:val="003D16FB"/>
    <w:rsid w:val="003D20AA"/>
    <w:rsid w:val="003D2335"/>
    <w:rsid w:val="003D3752"/>
    <w:rsid w:val="003D3CE7"/>
    <w:rsid w:val="003D3E42"/>
    <w:rsid w:val="003D3F7D"/>
    <w:rsid w:val="003D4F51"/>
    <w:rsid w:val="003D4FA4"/>
    <w:rsid w:val="003D5AF7"/>
    <w:rsid w:val="003D633C"/>
    <w:rsid w:val="003D78E0"/>
    <w:rsid w:val="003E040C"/>
    <w:rsid w:val="003E0737"/>
    <w:rsid w:val="003E0BD0"/>
    <w:rsid w:val="003E3178"/>
    <w:rsid w:val="003E35DA"/>
    <w:rsid w:val="003E455D"/>
    <w:rsid w:val="003E54D3"/>
    <w:rsid w:val="003E57B8"/>
    <w:rsid w:val="003E726C"/>
    <w:rsid w:val="003E7983"/>
    <w:rsid w:val="003F03FE"/>
    <w:rsid w:val="003F04A4"/>
    <w:rsid w:val="003F0863"/>
    <w:rsid w:val="003F0E85"/>
    <w:rsid w:val="003F1E83"/>
    <w:rsid w:val="003F3A37"/>
    <w:rsid w:val="003F5FAB"/>
    <w:rsid w:val="003F7D26"/>
    <w:rsid w:val="00402EC9"/>
    <w:rsid w:val="00403274"/>
    <w:rsid w:val="00404BF8"/>
    <w:rsid w:val="00405356"/>
    <w:rsid w:val="0040545F"/>
    <w:rsid w:val="00406B78"/>
    <w:rsid w:val="00406DF5"/>
    <w:rsid w:val="00406FB7"/>
    <w:rsid w:val="0040788A"/>
    <w:rsid w:val="00410C55"/>
    <w:rsid w:val="004114A7"/>
    <w:rsid w:val="00412291"/>
    <w:rsid w:val="0041287E"/>
    <w:rsid w:val="00414402"/>
    <w:rsid w:val="004146E9"/>
    <w:rsid w:val="00415552"/>
    <w:rsid w:val="004158C1"/>
    <w:rsid w:val="00415CB3"/>
    <w:rsid w:val="00416854"/>
    <w:rsid w:val="00417725"/>
    <w:rsid w:val="00420018"/>
    <w:rsid w:val="004200CB"/>
    <w:rsid w:val="00420281"/>
    <w:rsid w:val="00421119"/>
    <w:rsid w:val="00421484"/>
    <w:rsid w:val="0042266F"/>
    <w:rsid w:val="0042269A"/>
    <w:rsid w:val="0042271C"/>
    <w:rsid w:val="00422F39"/>
    <w:rsid w:val="00423C9B"/>
    <w:rsid w:val="0042432C"/>
    <w:rsid w:val="00425889"/>
    <w:rsid w:val="004258BA"/>
    <w:rsid w:val="0042711F"/>
    <w:rsid w:val="00427A73"/>
    <w:rsid w:val="004305F3"/>
    <w:rsid w:val="004314F8"/>
    <w:rsid w:val="00432048"/>
    <w:rsid w:val="00432EBA"/>
    <w:rsid w:val="00433266"/>
    <w:rsid w:val="0043339F"/>
    <w:rsid w:val="004342FE"/>
    <w:rsid w:val="004373C1"/>
    <w:rsid w:val="00437BE8"/>
    <w:rsid w:val="00437F26"/>
    <w:rsid w:val="00440CFD"/>
    <w:rsid w:val="00441680"/>
    <w:rsid w:val="00441C60"/>
    <w:rsid w:val="004423B4"/>
    <w:rsid w:val="00442554"/>
    <w:rsid w:val="004438A1"/>
    <w:rsid w:val="00444097"/>
    <w:rsid w:val="00444566"/>
    <w:rsid w:val="00444AB9"/>
    <w:rsid w:val="00445487"/>
    <w:rsid w:val="00446514"/>
    <w:rsid w:val="00446653"/>
    <w:rsid w:val="00447636"/>
    <w:rsid w:val="00447E0D"/>
    <w:rsid w:val="00450B4E"/>
    <w:rsid w:val="004527B1"/>
    <w:rsid w:val="00452F66"/>
    <w:rsid w:val="00453EA8"/>
    <w:rsid w:val="00454769"/>
    <w:rsid w:val="004550D8"/>
    <w:rsid w:val="004554D6"/>
    <w:rsid w:val="00456F8E"/>
    <w:rsid w:val="004618B1"/>
    <w:rsid w:val="004620C6"/>
    <w:rsid w:val="004638D4"/>
    <w:rsid w:val="004642A0"/>
    <w:rsid w:val="00464CEF"/>
    <w:rsid w:val="00464D16"/>
    <w:rsid w:val="00465A56"/>
    <w:rsid w:val="00466991"/>
    <w:rsid w:val="00466E8D"/>
    <w:rsid w:val="0047059E"/>
    <w:rsid w:val="0047064C"/>
    <w:rsid w:val="00471DE3"/>
    <w:rsid w:val="00473B55"/>
    <w:rsid w:val="00473DA7"/>
    <w:rsid w:val="00474130"/>
    <w:rsid w:val="00474271"/>
    <w:rsid w:val="00474E87"/>
    <w:rsid w:val="00476A20"/>
    <w:rsid w:val="0047746D"/>
    <w:rsid w:val="00480FA5"/>
    <w:rsid w:val="004822B7"/>
    <w:rsid w:val="0048263C"/>
    <w:rsid w:val="00484092"/>
    <w:rsid w:val="0048432F"/>
    <w:rsid w:val="004845CD"/>
    <w:rsid w:val="00484C30"/>
    <w:rsid w:val="00484D59"/>
    <w:rsid w:val="00484D5B"/>
    <w:rsid w:val="00485211"/>
    <w:rsid w:val="00485F20"/>
    <w:rsid w:val="00485F38"/>
    <w:rsid w:val="0048674D"/>
    <w:rsid w:val="00486EA5"/>
    <w:rsid w:val="00490AC1"/>
    <w:rsid w:val="00491B86"/>
    <w:rsid w:val="00491E99"/>
    <w:rsid w:val="0049469E"/>
    <w:rsid w:val="00495FE9"/>
    <w:rsid w:val="0049699E"/>
    <w:rsid w:val="004A0CE6"/>
    <w:rsid w:val="004A2217"/>
    <w:rsid w:val="004A24F9"/>
    <w:rsid w:val="004A2587"/>
    <w:rsid w:val="004A2FEB"/>
    <w:rsid w:val="004A4221"/>
    <w:rsid w:val="004A42E1"/>
    <w:rsid w:val="004A59FE"/>
    <w:rsid w:val="004A6C57"/>
    <w:rsid w:val="004A70F2"/>
    <w:rsid w:val="004A786A"/>
    <w:rsid w:val="004B0179"/>
    <w:rsid w:val="004B15DE"/>
    <w:rsid w:val="004B162C"/>
    <w:rsid w:val="004B1846"/>
    <w:rsid w:val="004B2536"/>
    <w:rsid w:val="004B2663"/>
    <w:rsid w:val="004B2ABE"/>
    <w:rsid w:val="004B2BBB"/>
    <w:rsid w:val="004B4520"/>
    <w:rsid w:val="004B4A7C"/>
    <w:rsid w:val="004B5FF4"/>
    <w:rsid w:val="004B670B"/>
    <w:rsid w:val="004C0144"/>
    <w:rsid w:val="004C06FA"/>
    <w:rsid w:val="004C0DBE"/>
    <w:rsid w:val="004C1AAD"/>
    <w:rsid w:val="004C232A"/>
    <w:rsid w:val="004C3562"/>
    <w:rsid w:val="004C396D"/>
    <w:rsid w:val="004C3DBE"/>
    <w:rsid w:val="004C589D"/>
    <w:rsid w:val="004C5C96"/>
    <w:rsid w:val="004C635D"/>
    <w:rsid w:val="004C67BC"/>
    <w:rsid w:val="004C782C"/>
    <w:rsid w:val="004D06A4"/>
    <w:rsid w:val="004D08F0"/>
    <w:rsid w:val="004D0F3B"/>
    <w:rsid w:val="004D1C34"/>
    <w:rsid w:val="004D2192"/>
    <w:rsid w:val="004D26AF"/>
    <w:rsid w:val="004D30B9"/>
    <w:rsid w:val="004D3889"/>
    <w:rsid w:val="004D3918"/>
    <w:rsid w:val="004D449D"/>
    <w:rsid w:val="004E2512"/>
    <w:rsid w:val="004E4BD7"/>
    <w:rsid w:val="004E5067"/>
    <w:rsid w:val="004E55B0"/>
    <w:rsid w:val="004E613C"/>
    <w:rsid w:val="004F0422"/>
    <w:rsid w:val="004F1A81"/>
    <w:rsid w:val="004F25C4"/>
    <w:rsid w:val="004F2986"/>
    <w:rsid w:val="004F30E7"/>
    <w:rsid w:val="004F32C2"/>
    <w:rsid w:val="004F3435"/>
    <w:rsid w:val="004F4446"/>
    <w:rsid w:val="004F6AB5"/>
    <w:rsid w:val="004F6BBB"/>
    <w:rsid w:val="00502B8A"/>
    <w:rsid w:val="00503745"/>
    <w:rsid w:val="00503EDF"/>
    <w:rsid w:val="005050D2"/>
    <w:rsid w:val="0050519C"/>
    <w:rsid w:val="005061DC"/>
    <w:rsid w:val="00506646"/>
    <w:rsid w:val="00506AA6"/>
    <w:rsid w:val="00512C43"/>
    <w:rsid w:val="00512C95"/>
    <w:rsid w:val="00512CE1"/>
    <w:rsid w:val="0051334F"/>
    <w:rsid w:val="005218D9"/>
    <w:rsid w:val="00522504"/>
    <w:rsid w:val="0052365D"/>
    <w:rsid w:val="00523700"/>
    <w:rsid w:val="00523741"/>
    <w:rsid w:val="00524583"/>
    <w:rsid w:val="005245EA"/>
    <w:rsid w:val="005248C3"/>
    <w:rsid w:val="00525055"/>
    <w:rsid w:val="00525C28"/>
    <w:rsid w:val="00525F24"/>
    <w:rsid w:val="00526572"/>
    <w:rsid w:val="00526627"/>
    <w:rsid w:val="00527C42"/>
    <w:rsid w:val="005305E4"/>
    <w:rsid w:val="00532268"/>
    <w:rsid w:val="00532ECF"/>
    <w:rsid w:val="005331A4"/>
    <w:rsid w:val="00533298"/>
    <w:rsid w:val="005337D4"/>
    <w:rsid w:val="00533D15"/>
    <w:rsid w:val="00536186"/>
    <w:rsid w:val="00536E36"/>
    <w:rsid w:val="00537C2C"/>
    <w:rsid w:val="0054011A"/>
    <w:rsid w:val="00540798"/>
    <w:rsid w:val="00541F02"/>
    <w:rsid w:val="00541F82"/>
    <w:rsid w:val="005420FE"/>
    <w:rsid w:val="00542790"/>
    <w:rsid w:val="00542C3D"/>
    <w:rsid w:val="00543FC4"/>
    <w:rsid w:val="00544CBB"/>
    <w:rsid w:val="00545411"/>
    <w:rsid w:val="00545C98"/>
    <w:rsid w:val="00550567"/>
    <w:rsid w:val="00551B65"/>
    <w:rsid w:val="005525CD"/>
    <w:rsid w:val="005526D0"/>
    <w:rsid w:val="00552A4B"/>
    <w:rsid w:val="00556704"/>
    <w:rsid w:val="0055700D"/>
    <w:rsid w:val="0055746A"/>
    <w:rsid w:val="00557802"/>
    <w:rsid w:val="005612C9"/>
    <w:rsid w:val="00561C9D"/>
    <w:rsid w:val="0056298A"/>
    <w:rsid w:val="00562FC3"/>
    <w:rsid w:val="005632EB"/>
    <w:rsid w:val="005656D7"/>
    <w:rsid w:val="00566BE8"/>
    <w:rsid w:val="0056710E"/>
    <w:rsid w:val="00567449"/>
    <w:rsid w:val="00571545"/>
    <w:rsid w:val="005722DA"/>
    <w:rsid w:val="0057315F"/>
    <w:rsid w:val="00573544"/>
    <w:rsid w:val="005742C4"/>
    <w:rsid w:val="00575204"/>
    <w:rsid w:val="00575218"/>
    <w:rsid w:val="005759EF"/>
    <w:rsid w:val="00576104"/>
    <w:rsid w:val="00576360"/>
    <w:rsid w:val="00576AAC"/>
    <w:rsid w:val="00576C35"/>
    <w:rsid w:val="00577234"/>
    <w:rsid w:val="0058036E"/>
    <w:rsid w:val="00580DA5"/>
    <w:rsid w:val="00581422"/>
    <w:rsid w:val="005814D7"/>
    <w:rsid w:val="005818ED"/>
    <w:rsid w:val="00581D30"/>
    <w:rsid w:val="00582351"/>
    <w:rsid w:val="00582B57"/>
    <w:rsid w:val="00582FF1"/>
    <w:rsid w:val="0058482F"/>
    <w:rsid w:val="00585E94"/>
    <w:rsid w:val="00586418"/>
    <w:rsid w:val="0058717E"/>
    <w:rsid w:val="0059160B"/>
    <w:rsid w:val="00592B21"/>
    <w:rsid w:val="00592C90"/>
    <w:rsid w:val="005933DA"/>
    <w:rsid w:val="00594158"/>
    <w:rsid w:val="00594F96"/>
    <w:rsid w:val="00597442"/>
    <w:rsid w:val="005A04CB"/>
    <w:rsid w:val="005A1B6C"/>
    <w:rsid w:val="005A24E7"/>
    <w:rsid w:val="005A3438"/>
    <w:rsid w:val="005A3A01"/>
    <w:rsid w:val="005A4DA6"/>
    <w:rsid w:val="005A5BA7"/>
    <w:rsid w:val="005B01A5"/>
    <w:rsid w:val="005B0B0B"/>
    <w:rsid w:val="005B3A1F"/>
    <w:rsid w:val="005B44BF"/>
    <w:rsid w:val="005B5615"/>
    <w:rsid w:val="005B5674"/>
    <w:rsid w:val="005B6337"/>
    <w:rsid w:val="005C0A4B"/>
    <w:rsid w:val="005C1D68"/>
    <w:rsid w:val="005C1EBB"/>
    <w:rsid w:val="005C2202"/>
    <w:rsid w:val="005C2374"/>
    <w:rsid w:val="005C54BD"/>
    <w:rsid w:val="005C5575"/>
    <w:rsid w:val="005C5B8B"/>
    <w:rsid w:val="005C642C"/>
    <w:rsid w:val="005C67C8"/>
    <w:rsid w:val="005C72CB"/>
    <w:rsid w:val="005D0249"/>
    <w:rsid w:val="005D0E49"/>
    <w:rsid w:val="005D1838"/>
    <w:rsid w:val="005D18FA"/>
    <w:rsid w:val="005D232B"/>
    <w:rsid w:val="005D32EE"/>
    <w:rsid w:val="005D3C8A"/>
    <w:rsid w:val="005D4AEE"/>
    <w:rsid w:val="005D4FD4"/>
    <w:rsid w:val="005D52F3"/>
    <w:rsid w:val="005D55EB"/>
    <w:rsid w:val="005D6E8C"/>
    <w:rsid w:val="005D74C4"/>
    <w:rsid w:val="005E0613"/>
    <w:rsid w:val="005E1911"/>
    <w:rsid w:val="005E1C94"/>
    <w:rsid w:val="005E2EA0"/>
    <w:rsid w:val="005E3004"/>
    <w:rsid w:val="005E437B"/>
    <w:rsid w:val="005E550A"/>
    <w:rsid w:val="005E5CEC"/>
    <w:rsid w:val="005E689D"/>
    <w:rsid w:val="005E71B2"/>
    <w:rsid w:val="005E734E"/>
    <w:rsid w:val="005E754A"/>
    <w:rsid w:val="005E784F"/>
    <w:rsid w:val="005F100C"/>
    <w:rsid w:val="005F1481"/>
    <w:rsid w:val="005F225C"/>
    <w:rsid w:val="005F2BE6"/>
    <w:rsid w:val="005F4715"/>
    <w:rsid w:val="005F4EA4"/>
    <w:rsid w:val="005F5A9E"/>
    <w:rsid w:val="005F5AF3"/>
    <w:rsid w:val="005F5FCF"/>
    <w:rsid w:val="005F68DA"/>
    <w:rsid w:val="005F6DEB"/>
    <w:rsid w:val="005F7419"/>
    <w:rsid w:val="006003B8"/>
    <w:rsid w:val="006008FA"/>
    <w:rsid w:val="00601BC9"/>
    <w:rsid w:val="00603C91"/>
    <w:rsid w:val="0060773B"/>
    <w:rsid w:val="0061146F"/>
    <w:rsid w:val="0061271A"/>
    <w:rsid w:val="00612FE4"/>
    <w:rsid w:val="00613FD6"/>
    <w:rsid w:val="00614113"/>
    <w:rsid w:val="00614FDC"/>
    <w:rsid w:val="006157B5"/>
    <w:rsid w:val="00615A74"/>
    <w:rsid w:val="00617224"/>
    <w:rsid w:val="006228E1"/>
    <w:rsid w:val="006233A3"/>
    <w:rsid w:val="00623B94"/>
    <w:rsid w:val="006253A9"/>
    <w:rsid w:val="0062566D"/>
    <w:rsid w:val="00625EA6"/>
    <w:rsid w:val="00626FC6"/>
    <w:rsid w:val="0062743E"/>
    <w:rsid w:val="006303B4"/>
    <w:rsid w:val="00630ADC"/>
    <w:rsid w:val="00631725"/>
    <w:rsid w:val="00631D0F"/>
    <w:rsid w:val="006338B0"/>
    <w:rsid w:val="006339E2"/>
    <w:rsid w:val="00633D3D"/>
    <w:rsid w:val="006342ED"/>
    <w:rsid w:val="0063542F"/>
    <w:rsid w:val="00636CCD"/>
    <w:rsid w:val="006403DE"/>
    <w:rsid w:val="00640B57"/>
    <w:rsid w:val="00640C6B"/>
    <w:rsid w:val="00641703"/>
    <w:rsid w:val="0064210D"/>
    <w:rsid w:val="006431A6"/>
    <w:rsid w:val="006439F3"/>
    <w:rsid w:val="00643AAA"/>
    <w:rsid w:val="00643D13"/>
    <w:rsid w:val="00643E3A"/>
    <w:rsid w:val="00645064"/>
    <w:rsid w:val="006459F6"/>
    <w:rsid w:val="00645CD6"/>
    <w:rsid w:val="006463D2"/>
    <w:rsid w:val="00646905"/>
    <w:rsid w:val="006501AD"/>
    <w:rsid w:val="006508AA"/>
    <w:rsid w:val="006509BD"/>
    <w:rsid w:val="006509CD"/>
    <w:rsid w:val="00651080"/>
    <w:rsid w:val="0065121F"/>
    <w:rsid w:val="006517C9"/>
    <w:rsid w:val="00651BFA"/>
    <w:rsid w:val="00654475"/>
    <w:rsid w:val="00655A81"/>
    <w:rsid w:val="00655AE8"/>
    <w:rsid w:val="00655C71"/>
    <w:rsid w:val="00656DDA"/>
    <w:rsid w:val="00656DF0"/>
    <w:rsid w:val="00657221"/>
    <w:rsid w:val="00657B34"/>
    <w:rsid w:val="00661125"/>
    <w:rsid w:val="00661133"/>
    <w:rsid w:val="00661C92"/>
    <w:rsid w:val="00663D4E"/>
    <w:rsid w:val="00663D7B"/>
    <w:rsid w:val="00665A4B"/>
    <w:rsid w:val="00665A61"/>
    <w:rsid w:val="006670DC"/>
    <w:rsid w:val="00667AA1"/>
    <w:rsid w:val="006702F3"/>
    <w:rsid w:val="006712CA"/>
    <w:rsid w:val="00672406"/>
    <w:rsid w:val="00673471"/>
    <w:rsid w:val="00673B91"/>
    <w:rsid w:val="006758D4"/>
    <w:rsid w:val="0067613E"/>
    <w:rsid w:val="00676B53"/>
    <w:rsid w:val="00676D28"/>
    <w:rsid w:val="00677707"/>
    <w:rsid w:val="00677C61"/>
    <w:rsid w:val="006805D6"/>
    <w:rsid w:val="00682614"/>
    <w:rsid w:val="00682DF0"/>
    <w:rsid w:val="0068379B"/>
    <w:rsid w:val="00683C6C"/>
    <w:rsid w:val="00683EEC"/>
    <w:rsid w:val="00684732"/>
    <w:rsid w:val="00684D50"/>
    <w:rsid w:val="00687D98"/>
    <w:rsid w:val="006918C4"/>
    <w:rsid w:val="0069217C"/>
    <w:rsid w:val="00692AB9"/>
    <w:rsid w:val="00692E17"/>
    <w:rsid w:val="00692E2A"/>
    <w:rsid w:val="00692EAA"/>
    <w:rsid w:val="00693405"/>
    <w:rsid w:val="00693648"/>
    <w:rsid w:val="006936AD"/>
    <w:rsid w:val="006941C3"/>
    <w:rsid w:val="0069496A"/>
    <w:rsid w:val="00695869"/>
    <w:rsid w:val="00696422"/>
    <w:rsid w:val="00696B4F"/>
    <w:rsid w:val="00697970"/>
    <w:rsid w:val="00697A93"/>
    <w:rsid w:val="006A21CF"/>
    <w:rsid w:val="006A2330"/>
    <w:rsid w:val="006A28CD"/>
    <w:rsid w:val="006A3E18"/>
    <w:rsid w:val="006A3FDE"/>
    <w:rsid w:val="006A6137"/>
    <w:rsid w:val="006A76F2"/>
    <w:rsid w:val="006A77E7"/>
    <w:rsid w:val="006B0384"/>
    <w:rsid w:val="006B05E6"/>
    <w:rsid w:val="006B210C"/>
    <w:rsid w:val="006B4C09"/>
    <w:rsid w:val="006B5D2C"/>
    <w:rsid w:val="006B63F4"/>
    <w:rsid w:val="006B7D29"/>
    <w:rsid w:val="006C0D4B"/>
    <w:rsid w:val="006C1563"/>
    <w:rsid w:val="006C15DF"/>
    <w:rsid w:val="006C172A"/>
    <w:rsid w:val="006C1744"/>
    <w:rsid w:val="006C2E76"/>
    <w:rsid w:val="006C307B"/>
    <w:rsid w:val="006C30FF"/>
    <w:rsid w:val="006C449B"/>
    <w:rsid w:val="006C47D7"/>
    <w:rsid w:val="006C5761"/>
    <w:rsid w:val="006C5B5A"/>
    <w:rsid w:val="006C5DE3"/>
    <w:rsid w:val="006C7266"/>
    <w:rsid w:val="006D19D4"/>
    <w:rsid w:val="006D28E6"/>
    <w:rsid w:val="006D2E48"/>
    <w:rsid w:val="006D531F"/>
    <w:rsid w:val="006D5644"/>
    <w:rsid w:val="006D572B"/>
    <w:rsid w:val="006D5E1D"/>
    <w:rsid w:val="006D7154"/>
    <w:rsid w:val="006D7EFB"/>
    <w:rsid w:val="006E0DBE"/>
    <w:rsid w:val="006E17B0"/>
    <w:rsid w:val="006E2E3B"/>
    <w:rsid w:val="006E3DB4"/>
    <w:rsid w:val="006E4012"/>
    <w:rsid w:val="006E412F"/>
    <w:rsid w:val="006E4AA3"/>
    <w:rsid w:val="006E4E56"/>
    <w:rsid w:val="006E551C"/>
    <w:rsid w:val="006E5AEE"/>
    <w:rsid w:val="006E6672"/>
    <w:rsid w:val="006E6722"/>
    <w:rsid w:val="006E6B70"/>
    <w:rsid w:val="006E6F43"/>
    <w:rsid w:val="006E6F90"/>
    <w:rsid w:val="006F1DDB"/>
    <w:rsid w:val="006F2691"/>
    <w:rsid w:val="006F2B8F"/>
    <w:rsid w:val="006F3BF8"/>
    <w:rsid w:val="006F404E"/>
    <w:rsid w:val="006F5A89"/>
    <w:rsid w:val="006F6EC2"/>
    <w:rsid w:val="006F7AFF"/>
    <w:rsid w:val="00701C9F"/>
    <w:rsid w:val="007027B9"/>
    <w:rsid w:val="007030B0"/>
    <w:rsid w:val="0070330C"/>
    <w:rsid w:val="00704FD9"/>
    <w:rsid w:val="00705BEE"/>
    <w:rsid w:val="00706656"/>
    <w:rsid w:val="007066B5"/>
    <w:rsid w:val="0070718C"/>
    <w:rsid w:val="007079E7"/>
    <w:rsid w:val="00711586"/>
    <w:rsid w:val="007123B4"/>
    <w:rsid w:val="007138CE"/>
    <w:rsid w:val="00713C93"/>
    <w:rsid w:val="007144E3"/>
    <w:rsid w:val="0071458C"/>
    <w:rsid w:val="007145DA"/>
    <w:rsid w:val="00714672"/>
    <w:rsid w:val="0071481B"/>
    <w:rsid w:val="00715E88"/>
    <w:rsid w:val="00721D6A"/>
    <w:rsid w:val="00721FEB"/>
    <w:rsid w:val="00722A5A"/>
    <w:rsid w:val="00723529"/>
    <w:rsid w:val="00724FA3"/>
    <w:rsid w:val="00725024"/>
    <w:rsid w:val="007251D9"/>
    <w:rsid w:val="007255A4"/>
    <w:rsid w:val="007257B4"/>
    <w:rsid w:val="00727370"/>
    <w:rsid w:val="007274FD"/>
    <w:rsid w:val="00731434"/>
    <w:rsid w:val="007320CA"/>
    <w:rsid w:val="00732596"/>
    <w:rsid w:val="0073309A"/>
    <w:rsid w:val="00734A3D"/>
    <w:rsid w:val="00734CAA"/>
    <w:rsid w:val="007352F3"/>
    <w:rsid w:val="0073595E"/>
    <w:rsid w:val="00735BE4"/>
    <w:rsid w:val="00737D3E"/>
    <w:rsid w:val="00740EE2"/>
    <w:rsid w:val="0074199F"/>
    <w:rsid w:val="00741CFD"/>
    <w:rsid w:val="00741F6F"/>
    <w:rsid w:val="00742680"/>
    <w:rsid w:val="0074379A"/>
    <w:rsid w:val="007439CD"/>
    <w:rsid w:val="007447F7"/>
    <w:rsid w:val="00744D8B"/>
    <w:rsid w:val="0074521A"/>
    <w:rsid w:val="0074623A"/>
    <w:rsid w:val="00746DCC"/>
    <w:rsid w:val="007479E3"/>
    <w:rsid w:val="00750159"/>
    <w:rsid w:val="00750F82"/>
    <w:rsid w:val="007514AD"/>
    <w:rsid w:val="00752221"/>
    <w:rsid w:val="007534D9"/>
    <w:rsid w:val="007540A3"/>
    <w:rsid w:val="0075533C"/>
    <w:rsid w:val="007561FF"/>
    <w:rsid w:val="00756DF7"/>
    <w:rsid w:val="0075743F"/>
    <w:rsid w:val="00757581"/>
    <w:rsid w:val="007602F5"/>
    <w:rsid w:val="00760D36"/>
    <w:rsid w:val="007611A0"/>
    <w:rsid w:val="00762C9D"/>
    <w:rsid w:val="00764548"/>
    <w:rsid w:val="00765BDF"/>
    <w:rsid w:val="00766419"/>
    <w:rsid w:val="00766A18"/>
    <w:rsid w:val="00770F49"/>
    <w:rsid w:val="00771914"/>
    <w:rsid w:val="00772574"/>
    <w:rsid w:val="00772BB2"/>
    <w:rsid w:val="00772BD1"/>
    <w:rsid w:val="007734A1"/>
    <w:rsid w:val="00773AF0"/>
    <w:rsid w:val="00773E54"/>
    <w:rsid w:val="007742BA"/>
    <w:rsid w:val="0077553D"/>
    <w:rsid w:val="00775BB3"/>
    <w:rsid w:val="007826D0"/>
    <w:rsid w:val="0078452C"/>
    <w:rsid w:val="00784564"/>
    <w:rsid w:val="00784643"/>
    <w:rsid w:val="007863CF"/>
    <w:rsid w:val="00787688"/>
    <w:rsid w:val="007905AC"/>
    <w:rsid w:val="007919C8"/>
    <w:rsid w:val="00791A62"/>
    <w:rsid w:val="007935E6"/>
    <w:rsid w:val="00793C57"/>
    <w:rsid w:val="00793EE0"/>
    <w:rsid w:val="00794DB5"/>
    <w:rsid w:val="00795C70"/>
    <w:rsid w:val="00796118"/>
    <w:rsid w:val="00796870"/>
    <w:rsid w:val="00796D20"/>
    <w:rsid w:val="00796D3F"/>
    <w:rsid w:val="007972A8"/>
    <w:rsid w:val="007A1683"/>
    <w:rsid w:val="007A24FD"/>
    <w:rsid w:val="007A25DB"/>
    <w:rsid w:val="007A42CC"/>
    <w:rsid w:val="007A5C12"/>
    <w:rsid w:val="007A60C5"/>
    <w:rsid w:val="007A6FA5"/>
    <w:rsid w:val="007A7C5A"/>
    <w:rsid w:val="007A7CB0"/>
    <w:rsid w:val="007B03E4"/>
    <w:rsid w:val="007B09AC"/>
    <w:rsid w:val="007B124B"/>
    <w:rsid w:val="007B1F75"/>
    <w:rsid w:val="007B477D"/>
    <w:rsid w:val="007B595A"/>
    <w:rsid w:val="007B639E"/>
    <w:rsid w:val="007B66CB"/>
    <w:rsid w:val="007B68A3"/>
    <w:rsid w:val="007B6FAF"/>
    <w:rsid w:val="007B7066"/>
    <w:rsid w:val="007B7E28"/>
    <w:rsid w:val="007C06FC"/>
    <w:rsid w:val="007C1ACD"/>
    <w:rsid w:val="007C236B"/>
    <w:rsid w:val="007C2541"/>
    <w:rsid w:val="007C2903"/>
    <w:rsid w:val="007C4978"/>
    <w:rsid w:val="007C6B01"/>
    <w:rsid w:val="007C6C5E"/>
    <w:rsid w:val="007D00C2"/>
    <w:rsid w:val="007D0DEE"/>
    <w:rsid w:val="007D15F9"/>
    <w:rsid w:val="007D281E"/>
    <w:rsid w:val="007D2B8E"/>
    <w:rsid w:val="007D3B3F"/>
    <w:rsid w:val="007D3E52"/>
    <w:rsid w:val="007D528E"/>
    <w:rsid w:val="007D56B4"/>
    <w:rsid w:val="007D5838"/>
    <w:rsid w:val="007D646C"/>
    <w:rsid w:val="007D66A8"/>
    <w:rsid w:val="007D6C37"/>
    <w:rsid w:val="007E003F"/>
    <w:rsid w:val="007E4A98"/>
    <w:rsid w:val="007E5BD9"/>
    <w:rsid w:val="007E6B82"/>
    <w:rsid w:val="007E7309"/>
    <w:rsid w:val="007F005D"/>
    <w:rsid w:val="007F07AF"/>
    <w:rsid w:val="007F0AFE"/>
    <w:rsid w:val="007F0CF8"/>
    <w:rsid w:val="007F1C16"/>
    <w:rsid w:val="007F1D7F"/>
    <w:rsid w:val="007F2F24"/>
    <w:rsid w:val="007F30B4"/>
    <w:rsid w:val="007F327E"/>
    <w:rsid w:val="007F3E94"/>
    <w:rsid w:val="007F44CF"/>
    <w:rsid w:val="007F4FF2"/>
    <w:rsid w:val="007F5785"/>
    <w:rsid w:val="007F62CB"/>
    <w:rsid w:val="00800345"/>
    <w:rsid w:val="00800B3E"/>
    <w:rsid w:val="00801302"/>
    <w:rsid w:val="00801CAD"/>
    <w:rsid w:val="00803C64"/>
    <w:rsid w:val="00805264"/>
    <w:rsid w:val="00806151"/>
    <w:rsid w:val="008065C6"/>
    <w:rsid w:val="008113AE"/>
    <w:rsid w:val="00811741"/>
    <w:rsid w:val="00811B84"/>
    <w:rsid w:val="00811C37"/>
    <w:rsid w:val="008128A2"/>
    <w:rsid w:val="00812CE2"/>
    <w:rsid w:val="008132CB"/>
    <w:rsid w:val="00813745"/>
    <w:rsid w:val="008140D7"/>
    <w:rsid w:val="00814103"/>
    <w:rsid w:val="008142EC"/>
    <w:rsid w:val="00815752"/>
    <w:rsid w:val="008164F2"/>
    <w:rsid w:val="00816557"/>
    <w:rsid w:val="00820EE3"/>
    <w:rsid w:val="00821395"/>
    <w:rsid w:val="008228B5"/>
    <w:rsid w:val="00823775"/>
    <w:rsid w:val="00823DA6"/>
    <w:rsid w:val="00826131"/>
    <w:rsid w:val="0082651A"/>
    <w:rsid w:val="00830A62"/>
    <w:rsid w:val="00830E26"/>
    <w:rsid w:val="0083176B"/>
    <w:rsid w:val="00832E17"/>
    <w:rsid w:val="00833057"/>
    <w:rsid w:val="008334A8"/>
    <w:rsid w:val="00834E1B"/>
    <w:rsid w:val="008368D7"/>
    <w:rsid w:val="00836D59"/>
    <w:rsid w:val="0083711C"/>
    <w:rsid w:val="0083732C"/>
    <w:rsid w:val="0083767F"/>
    <w:rsid w:val="00837C5E"/>
    <w:rsid w:val="008418D9"/>
    <w:rsid w:val="008427BB"/>
    <w:rsid w:val="00843518"/>
    <w:rsid w:val="00843576"/>
    <w:rsid w:val="00843B64"/>
    <w:rsid w:val="00845011"/>
    <w:rsid w:val="008457C5"/>
    <w:rsid w:val="00846231"/>
    <w:rsid w:val="008478FC"/>
    <w:rsid w:val="00847A7F"/>
    <w:rsid w:val="00850DBB"/>
    <w:rsid w:val="00851C51"/>
    <w:rsid w:val="008536D2"/>
    <w:rsid w:val="00853842"/>
    <w:rsid w:val="00856F11"/>
    <w:rsid w:val="00857A1D"/>
    <w:rsid w:val="00861839"/>
    <w:rsid w:val="00861A83"/>
    <w:rsid w:val="00863982"/>
    <w:rsid w:val="00864D01"/>
    <w:rsid w:val="00866467"/>
    <w:rsid w:val="00866EEA"/>
    <w:rsid w:val="00867BFF"/>
    <w:rsid w:val="00870009"/>
    <w:rsid w:val="00870B3C"/>
    <w:rsid w:val="00871542"/>
    <w:rsid w:val="00872BF6"/>
    <w:rsid w:val="00874153"/>
    <w:rsid w:val="0087447E"/>
    <w:rsid w:val="0087540B"/>
    <w:rsid w:val="00875635"/>
    <w:rsid w:val="00875A51"/>
    <w:rsid w:val="008775E9"/>
    <w:rsid w:val="00880437"/>
    <w:rsid w:val="00880E8C"/>
    <w:rsid w:val="0088134F"/>
    <w:rsid w:val="008834C8"/>
    <w:rsid w:val="00883643"/>
    <w:rsid w:val="00883F14"/>
    <w:rsid w:val="00883FB1"/>
    <w:rsid w:val="00884438"/>
    <w:rsid w:val="0088480A"/>
    <w:rsid w:val="00884D04"/>
    <w:rsid w:val="00885C10"/>
    <w:rsid w:val="0088757A"/>
    <w:rsid w:val="0088787B"/>
    <w:rsid w:val="00887D29"/>
    <w:rsid w:val="00887ECB"/>
    <w:rsid w:val="00892811"/>
    <w:rsid w:val="00892A96"/>
    <w:rsid w:val="008930CA"/>
    <w:rsid w:val="00893A30"/>
    <w:rsid w:val="0089431B"/>
    <w:rsid w:val="00895668"/>
    <w:rsid w:val="008957DD"/>
    <w:rsid w:val="00896768"/>
    <w:rsid w:val="00897A90"/>
    <w:rsid w:val="00897D98"/>
    <w:rsid w:val="008A1C86"/>
    <w:rsid w:val="008A2213"/>
    <w:rsid w:val="008A23FE"/>
    <w:rsid w:val="008A4109"/>
    <w:rsid w:val="008A42AD"/>
    <w:rsid w:val="008A5F88"/>
    <w:rsid w:val="008A6594"/>
    <w:rsid w:val="008A6DF2"/>
    <w:rsid w:val="008A7254"/>
    <w:rsid w:val="008A7807"/>
    <w:rsid w:val="008A7BDD"/>
    <w:rsid w:val="008B0BF2"/>
    <w:rsid w:val="008B0ED1"/>
    <w:rsid w:val="008B1BAA"/>
    <w:rsid w:val="008B2CB5"/>
    <w:rsid w:val="008B374A"/>
    <w:rsid w:val="008B459A"/>
    <w:rsid w:val="008B48B3"/>
    <w:rsid w:val="008B4CC9"/>
    <w:rsid w:val="008B580B"/>
    <w:rsid w:val="008B738F"/>
    <w:rsid w:val="008B77B5"/>
    <w:rsid w:val="008B7888"/>
    <w:rsid w:val="008C03F7"/>
    <w:rsid w:val="008C0B15"/>
    <w:rsid w:val="008C0E31"/>
    <w:rsid w:val="008C125D"/>
    <w:rsid w:val="008C187C"/>
    <w:rsid w:val="008C1CCB"/>
    <w:rsid w:val="008C3A51"/>
    <w:rsid w:val="008C42A8"/>
    <w:rsid w:val="008C4841"/>
    <w:rsid w:val="008C5C2C"/>
    <w:rsid w:val="008C61B9"/>
    <w:rsid w:val="008C6BC3"/>
    <w:rsid w:val="008D0A94"/>
    <w:rsid w:val="008D1903"/>
    <w:rsid w:val="008D19DE"/>
    <w:rsid w:val="008D22E5"/>
    <w:rsid w:val="008D4BF3"/>
    <w:rsid w:val="008D4D92"/>
    <w:rsid w:val="008D5182"/>
    <w:rsid w:val="008D5638"/>
    <w:rsid w:val="008D749B"/>
    <w:rsid w:val="008D75E4"/>
    <w:rsid w:val="008D7C99"/>
    <w:rsid w:val="008E0FCB"/>
    <w:rsid w:val="008E1032"/>
    <w:rsid w:val="008E1320"/>
    <w:rsid w:val="008E238F"/>
    <w:rsid w:val="008E39C2"/>
    <w:rsid w:val="008E3D61"/>
    <w:rsid w:val="008E4024"/>
    <w:rsid w:val="008E4D6C"/>
    <w:rsid w:val="008E53ED"/>
    <w:rsid w:val="008E708E"/>
    <w:rsid w:val="008E7834"/>
    <w:rsid w:val="008E7940"/>
    <w:rsid w:val="008E7F92"/>
    <w:rsid w:val="008F0087"/>
    <w:rsid w:val="008F2833"/>
    <w:rsid w:val="008F5820"/>
    <w:rsid w:val="008F5B28"/>
    <w:rsid w:val="008F5D16"/>
    <w:rsid w:val="008F6623"/>
    <w:rsid w:val="008F6DFE"/>
    <w:rsid w:val="009008F0"/>
    <w:rsid w:val="009019B8"/>
    <w:rsid w:val="00902FCF"/>
    <w:rsid w:val="00903B83"/>
    <w:rsid w:val="0090529F"/>
    <w:rsid w:val="0090694D"/>
    <w:rsid w:val="00906AE6"/>
    <w:rsid w:val="0090732B"/>
    <w:rsid w:val="00911401"/>
    <w:rsid w:val="00911E3A"/>
    <w:rsid w:val="00914EB4"/>
    <w:rsid w:val="00915BC4"/>
    <w:rsid w:val="00915C5A"/>
    <w:rsid w:val="00915D10"/>
    <w:rsid w:val="00917660"/>
    <w:rsid w:val="00917A21"/>
    <w:rsid w:val="00920A83"/>
    <w:rsid w:val="00921098"/>
    <w:rsid w:val="0092178C"/>
    <w:rsid w:val="009218C0"/>
    <w:rsid w:val="00922C12"/>
    <w:rsid w:val="00922D17"/>
    <w:rsid w:val="0092326C"/>
    <w:rsid w:val="00923D82"/>
    <w:rsid w:val="0092407B"/>
    <w:rsid w:val="00924A4B"/>
    <w:rsid w:val="0093046B"/>
    <w:rsid w:val="009306C1"/>
    <w:rsid w:val="00930B51"/>
    <w:rsid w:val="00930B7D"/>
    <w:rsid w:val="00930B88"/>
    <w:rsid w:val="009318B9"/>
    <w:rsid w:val="00933852"/>
    <w:rsid w:val="00933C1C"/>
    <w:rsid w:val="00934E0D"/>
    <w:rsid w:val="00935376"/>
    <w:rsid w:val="009405AC"/>
    <w:rsid w:val="00940ABA"/>
    <w:rsid w:val="00940DCC"/>
    <w:rsid w:val="0094179A"/>
    <w:rsid w:val="009417C1"/>
    <w:rsid w:val="00941DFD"/>
    <w:rsid w:val="0094258D"/>
    <w:rsid w:val="0094459E"/>
    <w:rsid w:val="00944DBC"/>
    <w:rsid w:val="00946239"/>
    <w:rsid w:val="009464DD"/>
    <w:rsid w:val="00946525"/>
    <w:rsid w:val="00947FCB"/>
    <w:rsid w:val="00950977"/>
    <w:rsid w:val="009510B1"/>
    <w:rsid w:val="0095170D"/>
    <w:rsid w:val="00951A7B"/>
    <w:rsid w:val="0095292A"/>
    <w:rsid w:val="00952F9D"/>
    <w:rsid w:val="00953D70"/>
    <w:rsid w:val="00955512"/>
    <w:rsid w:val="009564A6"/>
    <w:rsid w:val="00956C03"/>
    <w:rsid w:val="00957DA4"/>
    <w:rsid w:val="00957EF8"/>
    <w:rsid w:val="00960B45"/>
    <w:rsid w:val="00960DA0"/>
    <w:rsid w:val="00960EC1"/>
    <w:rsid w:val="0096131F"/>
    <w:rsid w:val="0096190A"/>
    <w:rsid w:val="00962695"/>
    <w:rsid w:val="0096355F"/>
    <w:rsid w:val="00963BEA"/>
    <w:rsid w:val="00964973"/>
    <w:rsid w:val="00965EC3"/>
    <w:rsid w:val="00966A4D"/>
    <w:rsid w:val="00966A53"/>
    <w:rsid w:val="00967621"/>
    <w:rsid w:val="00967966"/>
    <w:rsid w:val="00967E6A"/>
    <w:rsid w:val="00970116"/>
    <w:rsid w:val="0097162D"/>
    <w:rsid w:val="00972754"/>
    <w:rsid w:val="00973495"/>
    <w:rsid w:val="009736FA"/>
    <w:rsid w:val="00973D7A"/>
    <w:rsid w:val="00974C2A"/>
    <w:rsid w:val="00975096"/>
    <w:rsid w:val="00975639"/>
    <w:rsid w:val="00976326"/>
    <w:rsid w:val="00976548"/>
    <w:rsid w:val="00981462"/>
    <w:rsid w:val="0098155B"/>
    <w:rsid w:val="00981AC1"/>
    <w:rsid w:val="00983763"/>
    <w:rsid w:val="00983B21"/>
    <w:rsid w:val="0098579B"/>
    <w:rsid w:val="00985BDA"/>
    <w:rsid w:val="009870F9"/>
    <w:rsid w:val="00987B73"/>
    <w:rsid w:val="0099042F"/>
    <w:rsid w:val="009907B9"/>
    <w:rsid w:val="00990918"/>
    <w:rsid w:val="0099216A"/>
    <w:rsid w:val="009921AF"/>
    <w:rsid w:val="009923D6"/>
    <w:rsid w:val="00992C2C"/>
    <w:rsid w:val="00993A97"/>
    <w:rsid w:val="0099587D"/>
    <w:rsid w:val="00995C1B"/>
    <w:rsid w:val="00996D90"/>
    <w:rsid w:val="009A174C"/>
    <w:rsid w:val="009A287F"/>
    <w:rsid w:val="009A3A83"/>
    <w:rsid w:val="009B1CF4"/>
    <w:rsid w:val="009B287D"/>
    <w:rsid w:val="009B2F52"/>
    <w:rsid w:val="009B4A0F"/>
    <w:rsid w:val="009B4D15"/>
    <w:rsid w:val="009B508D"/>
    <w:rsid w:val="009C0718"/>
    <w:rsid w:val="009C0C39"/>
    <w:rsid w:val="009C1189"/>
    <w:rsid w:val="009C11D2"/>
    <w:rsid w:val="009C2728"/>
    <w:rsid w:val="009C35F0"/>
    <w:rsid w:val="009C46DF"/>
    <w:rsid w:val="009C4B7F"/>
    <w:rsid w:val="009C4DDC"/>
    <w:rsid w:val="009C5465"/>
    <w:rsid w:val="009C566C"/>
    <w:rsid w:val="009C5BFC"/>
    <w:rsid w:val="009C6294"/>
    <w:rsid w:val="009C69B6"/>
    <w:rsid w:val="009C6C70"/>
    <w:rsid w:val="009C6F30"/>
    <w:rsid w:val="009C7B0A"/>
    <w:rsid w:val="009D097E"/>
    <w:rsid w:val="009D0B63"/>
    <w:rsid w:val="009D1F2C"/>
    <w:rsid w:val="009D3156"/>
    <w:rsid w:val="009D5A02"/>
    <w:rsid w:val="009D5CB8"/>
    <w:rsid w:val="009D7426"/>
    <w:rsid w:val="009E0119"/>
    <w:rsid w:val="009E01D1"/>
    <w:rsid w:val="009E0533"/>
    <w:rsid w:val="009E159C"/>
    <w:rsid w:val="009E234F"/>
    <w:rsid w:val="009E24CC"/>
    <w:rsid w:val="009E29DA"/>
    <w:rsid w:val="009E307E"/>
    <w:rsid w:val="009E366D"/>
    <w:rsid w:val="009E3D6D"/>
    <w:rsid w:val="009E478F"/>
    <w:rsid w:val="009E517F"/>
    <w:rsid w:val="009E557D"/>
    <w:rsid w:val="009E5B0C"/>
    <w:rsid w:val="009F1770"/>
    <w:rsid w:val="009F1E0E"/>
    <w:rsid w:val="009F1E27"/>
    <w:rsid w:val="009F1E5D"/>
    <w:rsid w:val="009F2205"/>
    <w:rsid w:val="009F3A90"/>
    <w:rsid w:val="009F4431"/>
    <w:rsid w:val="009F4921"/>
    <w:rsid w:val="009F5013"/>
    <w:rsid w:val="009F5613"/>
    <w:rsid w:val="009F5E7E"/>
    <w:rsid w:val="009F6250"/>
    <w:rsid w:val="009F6A9B"/>
    <w:rsid w:val="009F76A9"/>
    <w:rsid w:val="00A002CD"/>
    <w:rsid w:val="00A01AD4"/>
    <w:rsid w:val="00A034A5"/>
    <w:rsid w:val="00A0453C"/>
    <w:rsid w:val="00A06DF8"/>
    <w:rsid w:val="00A072AD"/>
    <w:rsid w:val="00A07870"/>
    <w:rsid w:val="00A07C54"/>
    <w:rsid w:val="00A07F19"/>
    <w:rsid w:val="00A10103"/>
    <w:rsid w:val="00A1094C"/>
    <w:rsid w:val="00A11608"/>
    <w:rsid w:val="00A11E01"/>
    <w:rsid w:val="00A12E6D"/>
    <w:rsid w:val="00A130CD"/>
    <w:rsid w:val="00A1348D"/>
    <w:rsid w:val="00A13B94"/>
    <w:rsid w:val="00A13C99"/>
    <w:rsid w:val="00A142F8"/>
    <w:rsid w:val="00A14AC6"/>
    <w:rsid w:val="00A14E8B"/>
    <w:rsid w:val="00A15A38"/>
    <w:rsid w:val="00A15BE2"/>
    <w:rsid w:val="00A16365"/>
    <w:rsid w:val="00A22237"/>
    <w:rsid w:val="00A232EE"/>
    <w:rsid w:val="00A23FF6"/>
    <w:rsid w:val="00A247E2"/>
    <w:rsid w:val="00A24CCB"/>
    <w:rsid w:val="00A25DE4"/>
    <w:rsid w:val="00A272F7"/>
    <w:rsid w:val="00A27C9F"/>
    <w:rsid w:val="00A30061"/>
    <w:rsid w:val="00A304EB"/>
    <w:rsid w:val="00A30AD6"/>
    <w:rsid w:val="00A3118A"/>
    <w:rsid w:val="00A3208D"/>
    <w:rsid w:val="00A32767"/>
    <w:rsid w:val="00A327E4"/>
    <w:rsid w:val="00A329FD"/>
    <w:rsid w:val="00A3304A"/>
    <w:rsid w:val="00A3385E"/>
    <w:rsid w:val="00A33880"/>
    <w:rsid w:val="00A3403F"/>
    <w:rsid w:val="00A35247"/>
    <w:rsid w:val="00A359A5"/>
    <w:rsid w:val="00A36827"/>
    <w:rsid w:val="00A3762E"/>
    <w:rsid w:val="00A37708"/>
    <w:rsid w:val="00A4175F"/>
    <w:rsid w:val="00A4311D"/>
    <w:rsid w:val="00A438B7"/>
    <w:rsid w:val="00A44411"/>
    <w:rsid w:val="00A45788"/>
    <w:rsid w:val="00A45930"/>
    <w:rsid w:val="00A45D4A"/>
    <w:rsid w:val="00A469FA"/>
    <w:rsid w:val="00A46E44"/>
    <w:rsid w:val="00A476CE"/>
    <w:rsid w:val="00A47A5E"/>
    <w:rsid w:val="00A50017"/>
    <w:rsid w:val="00A507F9"/>
    <w:rsid w:val="00A53662"/>
    <w:rsid w:val="00A548CB"/>
    <w:rsid w:val="00A54AD3"/>
    <w:rsid w:val="00A55387"/>
    <w:rsid w:val="00A55A7E"/>
    <w:rsid w:val="00A55B01"/>
    <w:rsid w:val="00A56146"/>
    <w:rsid w:val="00A564FC"/>
    <w:rsid w:val="00A56B5B"/>
    <w:rsid w:val="00A603FF"/>
    <w:rsid w:val="00A6182B"/>
    <w:rsid w:val="00A619B6"/>
    <w:rsid w:val="00A61AC1"/>
    <w:rsid w:val="00A620E3"/>
    <w:rsid w:val="00A63576"/>
    <w:rsid w:val="00A63A54"/>
    <w:rsid w:val="00A6475E"/>
    <w:rsid w:val="00A648CA"/>
    <w:rsid w:val="00A64A9C"/>
    <w:rsid w:val="00A657DD"/>
    <w:rsid w:val="00A666A6"/>
    <w:rsid w:val="00A675FD"/>
    <w:rsid w:val="00A72437"/>
    <w:rsid w:val="00A72519"/>
    <w:rsid w:val="00A7465A"/>
    <w:rsid w:val="00A75710"/>
    <w:rsid w:val="00A80445"/>
    <w:rsid w:val="00A8048B"/>
    <w:rsid w:val="00A80611"/>
    <w:rsid w:val="00A813ED"/>
    <w:rsid w:val="00A81D25"/>
    <w:rsid w:val="00A83B68"/>
    <w:rsid w:val="00A84383"/>
    <w:rsid w:val="00A848E8"/>
    <w:rsid w:val="00A84E43"/>
    <w:rsid w:val="00A861E8"/>
    <w:rsid w:val="00A873FC"/>
    <w:rsid w:val="00A90987"/>
    <w:rsid w:val="00A91664"/>
    <w:rsid w:val="00A92755"/>
    <w:rsid w:val="00A94C3D"/>
    <w:rsid w:val="00A951AD"/>
    <w:rsid w:val="00A95F9E"/>
    <w:rsid w:val="00AA0024"/>
    <w:rsid w:val="00AA0925"/>
    <w:rsid w:val="00AA0B9F"/>
    <w:rsid w:val="00AA1653"/>
    <w:rsid w:val="00AA1C7B"/>
    <w:rsid w:val="00AA3EEE"/>
    <w:rsid w:val="00AA5BF4"/>
    <w:rsid w:val="00AA6DFA"/>
    <w:rsid w:val="00AB0937"/>
    <w:rsid w:val="00AB0CAE"/>
    <w:rsid w:val="00AB125F"/>
    <w:rsid w:val="00AB12C7"/>
    <w:rsid w:val="00AB20A3"/>
    <w:rsid w:val="00AB2285"/>
    <w:rsid w:val="00AB4D86"/>
    <w:rsid w:val="00AB5340"/>
    <w:rsid w:val="00AB5B30"/>
    <w:rsid w:val="00AB5F18"/>
    <w:rsid w:val="00AC0433"/>
    <w:rsid w:val="00AC0A89"/>
    <w:rsid w:val="00AC0FF1"/>
    <w:rsid w:val="00AC3678"/>
    <w:rsid w:val="00AC42F7"/>
    <w:rsid w:val="00AC7C96"/>
    <w:rsid w:val="00AD209B"/>
    <w:rsid w:val="00AD21C7"/>
    <w:rsid w:val="00AD3059"/>
    <w:rsid w:val="00AD51B6"/>
    <w:rsid w:val="00AD6069"/>
    <w:rsid w:val="00AD60CB"/>
    <w:rsid w:val="00AD6C8D"/>
    <w:rsid w:val="00AD7D00"/>
    <w:rsid w:val="00AE0812"/>
    <w:rsid w:val="00AE2127"/>
    <w:rsid w:val="00AE237D"/>
    <w:rsid w:val="00AE452B"/>
    <w:rsid w:val="00AE502A"/>
    <w:rsid w:val="00AE5AA2"/>
    <w:rsid w:val="00AE5CAF"/>
    <w:rsid w:val="00AE7253"/>
    <w:rsid w:val="00AE7C3B"/>
    <w:rsid w:val="00AE7F0B"/>
    <w:rsid w:val="00AF0010"/>
    <w:rsid w:val="00AF2C1F"/>
    <w:rsid w:val="00AF4B4B"/>
    <w:rsid w:val="00AF5372"/>
    <w:rsid w:val="00AF7310"/>
    <w:rsid w:val="00AF7C07"/>
    <w:rsid w:val="00AF7C55"/>
    <w:rsid w:val="00B03F7B"/>
    <w:rsid w:val="00B04CE5"/>
    <w:rsid w:val="00B05406"/>
    <w:rsid w:val="00B06625"/>
    <w:rsid w:val="00B06969"/>
    <w:rsid w:val="00B06C64"/>
    <w:rsid w:val="00B077E2"/>
    <w:rsid w:val="00B10483"/>
    <w:rsid w:val="00B117F7"/>
    <w:rsid w:val="00B11915"/>
    <w:rsid w:val="00B1197C"/>
    <w:rsid w:val="00B119FB"/>
    <w:rsid w:val="00B11CAC"/>
    <w:rsid w:val="00B12743"/>
    <w:rsid w:val="00B1360F"/>
    <w:rsid w:val="00B14B83"/>
    <w:rsid w:val="00B15766"/>
    <w:rsid w:val="00B15A29"/>
    <w:rsid w:val="00B16325"/>
    <w:rsid w:val="00B17A1A"/>
    <w:rsid w:val="00B20BC3"/>
    <w:rsid w:val="00B2166B"/>
    <w:rsid w:val="00B22C93"/>
    <w:rsid w:val="00B239A5"/>
    <w:rsid w:val="00B24768"/>
    <w:rsid w:val="00B249C0"/>
    <w:rsid w:val="00B25338"/>
    <w:rsid w:val="00B255B3"/>
    <w:rsid w:val="00B26433"/>
    <w:rsid w:val="00B26B97"/>
    <w:rsid w:val="00B26DFD"/>
    <w:rsid w:val="00B26F2F"/>
    <w:rsid w:val="00B27589"/>
    <w:rsid w:val="00B27BE2"/>
    <w:rsid w:val="00B33504"/>
    <w:rsid w:val="00B35F31"/>
    <w:rsid w:val="00B361B6"/>
    <w:rsid w:val="00B36736"/>
    <w:rsid w:val="00B36C8C"/>
    <w:rsid w:val="00B3741C"/>
    <w:rsid w:val="00B37B1F"/>
    <w:rsid w:val="00B405B7"/>
    <w:rsid w:val="00B40DE4"/>
    <w:rsid w:val="00B4107D"/>
    <w:rsid w:val="00B418B8"/>
    <w:rsid w:val="00B42038"/>
    <w:rsid w:val="00B42858"/>
    <w:rsid w:val="00B42CD9"/>
    <w:rsid w:val="00B42F92"/>
    <w:rsid w:val="00B4457F"/>
    <w:rsid w:val="00B44704"/>
    <w:rsid w:val="00B45148"/>
    <w:rsid w:val="00B456DA"/>
    <w:rsid w:val="00B458F2"/>
    <w:rsid w:val="00B46CF0"/>
    <w:rsid w:val="00B46F03"/>
    <w:rsid w:val="00B47CCB"/>
    <w:rsid w:val="00B517DA"/>
    <w:rsid w:val="00B52222"/>
    <w:rsid w:val="00B5279F"/>
    <w:rsid w:val="00B53003"/>
    <w:rsid w:val="00B531DA"/>
    <w:rsid w:val="00B54895"/>
    <w:rsid w:val="00B54FE7"/>
    <w:rsid w:val="00B557C2"/>
    <w:rsid w:val="00B566CF"/>
    <w:rsid w:val="00B60732"/>
    <w:rsid w:val="00B622A5"/>
    <w:rsid w:val="00B629ED"/>
    <w:rsid w:val="00B62A2E"/>
    <w:rsid w:val="00B644B1"/>
    <w:rsid w:val="00B647C6"/>
    <w:rsid w:val="00B655F9"/>
    <w:rsid w:val="00B66901"/>
    <w:rsid w:val="00B66F60"/>
    <w:rsid w:val="00B66F82"/>
    <w:rsid w:val="00B67438"/>
    <w:rsid w:val="00B67E69"/>
    <w:rsid w:val="00B7050C"/>
    <w:rsid w:val="00B7199E"/>
    <w:rsid w:val="00B71E6D"/>
    <w:rsid w:val="00B72070"/>
    <w:rsid w:val="00B7589E"/>
    <w:rsid w:val="00B759A6"/>
    <w:rsid w:val="00B76A3B"/>
    <w:rsid w:val="00B77855"/>
    <w:rsid w:val="00B779E1"/>
    <w:rsid w:val="00B80163"/>
    <w:rsid w:val="00B810D7"/>
    <w:rsid w:val="00B81AAF"/>
    <w:rsid w:val="00B81D67"/>
    <w:rsid w:val="00B81E3A"/>
    <w:rsid w:val="00B822F6"/>
    <w:rsid w:val="00B82920"/>
    <w:rsid w:val="00B83C52"/>
    <w:rsid w:val="00B845C6"/>
    <w:rsid w:val="00B84C60"/>
    <w:rsid w:val="00B85CFB"/>
    <w:rsid w:val="00B860D3"/>
    <w:rsid w:val="00B86FA6"/>
    <w:rsid w:val="00B914E9"/>
    <w:rsid w:val="00B91EE1"/>
    <w:rsid w:val="00B92996"/>
    <w:rsid w:val="00B92CFA"/>
    <w:rsid w:val="00B93517"/>
    <w:rsid w:val="00B942E0"/>
    <w:rsid w:val="00B94602"/>
    <w:rsid w:val="00B9551C"/>
    <w:rsid w:val="00BA0090"/>
    <w:rsid w:val="00BA126A"/>
    <w:rsid w:val="00BA1708"/>
    <w:rsid w:val="00BA1A67"/>
    <w:rsid w:val="00BA4788"/>
    <w:rsid w:val="00BA5064"/>
    <w:rsid w:val="00BA5E21"/>
    <w:rsid w:val="00BA6368"/>
    <w:rsid w:val="00BA6611"/>
    <w:rsid w:val="00BA6A80"/>
    <w:rsid w:val="00BB1373"/>
    <w:rsid w:val="00BB274D"/>
    <w:rsid w:val="00BB2A46"/>
    <w:rsid w:val="00BB39E9"/>
    <w:rsid w:val="00BB4ABB"/>
    <w:rsid w:val="00BB4CFC"/>
    <w:rsid w:val="00BC0646"/>
    <w:rsid w:val="00BC1349"/>
    <w:rsid w:val="00BC1D86"/>
    <w:rsid w:val="00BC1FAE"/>
    <w:rsid w:val="00BC62BA"/>
    <w:rsid w:val="00BC76CD"/>
    <w:rsid w:val="00BD32B3"/>
    <w:rsid w:val="00BD3D81"/>
    <w:rsid w:val="00BD504A"/>
    <w:rsid w:val="00BD5196"/>
    <w:rsid w:val="00BD646D"/>
    <w:rsid w:val="00BD6F90"/>
    <w:rsid w:val="00BE092C"/>
    <w:rsid w:val="00BE0D97"/>
    <w:rsid w:val="00BE0DC9"/>
    <w:rsid w:val="00BE0E29"/>
    <w:rsid w:val="00BE1325"/>
    <w:rsid w:val="00BE4962"/>
    <w:rsid w:val="00BE4BFD"/>
    <w:rsid w:val="00BE50AC"/>
    <w:rsid w:val="00BE5B5F"/>
    <w:rsid w:val="00BE6CFF"/>
    <w:rsid w:val="00BE752D"/>
    <w:rsid w:val="00BE7993"/>
    <w:rsid w:val="00BF1197"/>
    <w:rsid w:val="00BF18B7"/>
    <w:rsid w:val="00BF1E65"/>
    <w:rsid w:val="00BF478C"/>
    <w:rsid w:val="00BF7DF9"/>
    <w:rsid w:val="00C004F4"/>
    <w:rsid w:val="00C00589"/>
    <w:rsid w:val="00C0170E"/>
    <w:rsid w:val="00C02044"/>
    <w:rsid w:val="00C043FA"/>
    <w:rsid w:val="00C07529"/>
    <w:rsid w:val="00C07F5B"/>
    <w:rsid w:val="00C1096C"/>
    <w:rsid w:val="00C11EFC"/>
    <w:rsid w:val="00C130AB"/>
    <w:rsid w:val="00C14C16"/>
    <w:rsid w:val="00C15894"/>
    <w:rsid w:val="00C15EC7"/>
    <w:rsid w:val="00C167F4"/>
    <w:rsid w:val="00C169F9"/>
    <w:rsid w:val="00C16F76"/>
    <w:rsid w:val="00C17A91"/>
    <w:rsid w:val="00C20254"/>
    <w:rsid w:val="00C21AC5"/>
    <w:rsid w:val="00C22BDC"/>
    <w:rsid w:val="00C22C95"/>
    <w:rsid w:val="00C23644"/>
    <w:rsid w:val="00C243BA"/>
    <w:rsid w:val="00C24DFA"/>
    <w:rsid w:val="00C26C1F"/>
    <w:rsid w:val="00C26F55"/>
    <w:rsid w:val="00C3018E"/>
    <w:rsid w:val="00C30C61"/>
    <w:rsid w:val="00C30C63"/>
    <w:rsid w:val="00C30FF3"/>
    <w:rsid w:val="00C323F8"/>
    <w:rsid w:val="00C32789"/>
    <w:rsid w:val="00C331DD"/>
    <w:rsid w:val="00C33507"/>
    <w:rsid w:val="00C3360F"/>
    <w:rsid w:val="00C336C9"/>
    <w:rsid w:val="00C336F7"/>
    <w:rsid w:val="00C35B02"/>
    <w:rsid w:val="00C3626F"/>
    <w:rsid w:val="00C36B8B"/>
    <w:rsid w:val="00C411FE"/>
    <w:rsid w:val="00C415C1"/>
    <w:rsid w:val="00C419B2"/>
    <w:rsid w:val="00C43925"/>
    <w:rsid w:val="00C44492"/>
    <w:rsid w:val="00C44AED"/>
    <w:rsid w:val="00C4695A"/>
    <w:rsid w:val="00C46E0B"/>
    <w:rsid w:val="00C47DBF"/>
    <w:rsid w:val="00C500BE"/>
    <w:rsid w:val="00C5205C"/>
    <w:rsid w:val="00C54591"/>
    <w:rsid w:val="00C552FF"/>
    <w:rsid w:val="00C55434"/>
    <w:rsid w:val="00C558C3"/>
    <w:rsid w:val="00C558DA"/>
    <w:rsid w:val="00C55AF3"/>
    <w:rsid w:val="00C601A8"/>
    <w:rsid w:val="00C601E8"/>
    <w:rsid w:val="00C61A85"/>
    <w:rsid w:val="00C622D6"/>
    <w:rsid w:val="00C62D9E"/>
    <w:rsid w:val="00C63A46"/>
    <w:rsid w:val="00C648D9"/>
    <w:rsid w:val="00C67A5B"/>
    <w:rsid w:val="00C70061"/>
    <w:rsid w:val="00C703AA"/>
    <w:rsid w:val="00C7098C"/>
    <w:rsid w:val="00C70A38"/>
    <w:rsid w:val="00C70BB6"/>
    <w:rsid w:val="00C71422"/>
    <w:rsid w:val="00C71607"/>
    <w:rsid w:val="00C71E0C"/>
    <w:rsid w:val="00C72AA1"/>
    <w:rsid w:val="00C72C55"/>
    <w:rsid w:val="00C73DA2"/>
    <w:rsid w:val="00C73DD7"/>
    <w:rsid w:val="00C75229"/>
    <w:rsid w:val="00C769D2"/>
    <w:rsid w:val="00C771A9"/>
    <w:rsid w:val="00C7755C"/>
    <w:rsid w:val="00C80188"/>
    <w:rsid w:val="00C83C9E"/>
    <w:rsid w:val="00C83E1B"/>
    <w:rsid w:val="00C84759"/>
    <w:rsid w:val="00C8759D"/>
    <w:rsid w:val="00C9107A"/>
    <w:rsid w:val="00C9121C"/>
    <w:rsid w:val="00C93096"/>
    <w:rsid w:val="00C93DAA"/>
    <w:rsid w:val="00C9478E"/>
    <w:rsid w:val="00C94A8F"/>
    <w:rsid w:val="00C94AC4"/>
    <w:rsid w:val="00C97426"/>
    <w:rsid w:val="00CA0F8C"/>
    <w:rsid w:val="00CA136F"/>
    <w:rsid w:val="00CA4D89"/>
    <w:rsid w:val="00CA5CA9"/>
    <w:rsid w:val="00CA6BC8"/>
    <w:rsid w:val="00CA6C7F"/>
    <w:rsid w:val="00CA705A"/>
    <w:rsid w:val="00CA7E08"/>
    <w:rsid w:val="00CB0A07"/>
    <w:rsid w:val="00CB0F91"/>
    <w:rsid w:val="00CB1A46"/>
    <w:rsid w:val="00CB462B"/>
    <w:rsid w:val="00CB53A5"/>
    <w:rsid w:val="00CB60CA"/>
    <w:rsid w:val="00CB6A30"/>
    <w:rsid w:val="00CB742B"/>
    <w:rsid w:val="00CB74C7"/>
    <w:rsid w:val="00CB788B"/>
    <w:rsid w:val="00CC056B"/>
    <w:rsid w:val="00CC0FC7"/>
    <w:rsid w:val="00CC10A6"/>
    <w:rsid w:val="00CC183F"/>
    <w:rsid w:val="00CC30EB"/>
    <w:rsid w:val="00CC3B7C"/>
    <w:rsid w:val="00CC4940"/>
    <w:rsid w:val="00CC4B25"/>
    <w:rsid w:val="00CC50D2"/>
    <w:rsid w:val="00CD0594"/>
    <w:rsid w:val="00CD0737"/>
    <w:rsid w:val="00CD0EC1"/>
    <w:rsid w:val="00CD0FEA"/>
    <w:rsid w:val="00CD2D29"/>
    <w:rsid w:val="00CD31F6"/>
    <w:rsid w:val="00CD3591"/>
    <w:rsid w:val="00CD45B1"/>
    <w:rsid w:val="00CD4A35"/>
    <w:rsid w:val="00CD4B42"/>
    <w:rsid w:val="00CD59CB"/>
    <w:rsid w:val="00CD5EB8"/>
    <w:rsid w:val="00CD647C"/>
    <w:rsid w:val="00CD7044"/>
    <w:rsid w:val="00CD7128"/>
    <w:rsid w:val="00CE08B9"/>
    <w:rsid w:val="00CE1F2B"/>
    <w:rsid w:val="00CE2695"/>
    <w:rsid w:val="00CE2AE4"/>
    <w:rsid w:val="00CE3515"/>
    <w:rsid w:val="00CE524C"/>
    <w:rsid w:val="00CE530D"/>
    <w:rsid w:val="00CE729E"/>
    <w:rsid w:val="00CE78B0"/>
    <w:rsid w:val="00CF141F"/>
    <w:rsid w:val="00CF27D2"/>
    <w:rsid w:val="00CF324A"/>
    <w:rsid w:val="00CF4636"/>
    <w:rsid w:val="00CF4777"/>
    <w:rsid w:val="00CF4B21"/>
    <w:rsid w:val="00CF642A"/>
    <w:rsid w:val="00CF65C8"/>
    <w:rsid w:val="00CF65E0"/>
    <w:rsid w:val="00D00264"/>
    <w:rsid w:val="00D013F5"/>
    <w:rsid w:val="00D028B1"/>
    <w:rsid w:val="00D032C2"/>
    <w:rsid w:val="00D040C7"/>
    <w:rsid w:val="00D04667"/>
    <w:rsid w:val="00D05E3F"/>
    <w:rsid w:val="00D067BB"/>
    <w:rsid w:val="00D06D67"/>
    <w:rsid w:val="00D11D8D"/>
    <w:rsid w:val="00D12839"/>
    <w:rsid w:val="00D1289E"/>
    <w:rsid w:val="00D1352A"/>
    <w:rsid w:val="00D13A30"/>
    <w:rsid w:val="00D14220"/>
    <w:rsid w:val="00D147D7"/>
    <w:rsid w:val="00D1481A"/>
    <w:rsid w:val="00D155B8"/>
    <w:rsid w:val="00D1638E"/>
    <w:rsid w:val="00D169AF"/>
    <w:rsid w:val="00D213BF"/>
    <w:rsid w:val="00D220E4"/>
    <w:rsid w:val="00D22E9C"/>
    <w:rsid w:val="00D22EA6"/>
    <w:rsid w:val="00D230BC"/>
    <w:rsid w:val="00D231E9"/>
    <w:rsid w:val="00D23804"/>
    <w:rsid w:val="00D2395D"/>
    <w:rsid w:val="00D24E06"/>
    <w:rsid w:val="00D25175"/>
    <w:rsid w:val="00D25249"/>
    <w:rsid w:val="00D26854"/>
    <w:rsid w:val="00D300B8"/>
    <w:rsid w:val="00D301BC"/>
    <w:rsid w:val="00D312E8"/>
    <w:rsid w:val="00D31889"/>
    <w:rsid w:val="00D31B92"/>
    <w:rsid w:val="00D32478"/>
    <w:rsid w:val="00D3295E"/>
    <w:rsid w:val="00D3335E"/>
    <w:rsid w:val="00D33D9E"/>
    <w:rsid w:val="00D34638"/>
    <w:rsid w:val="00D34997"/>
    <w:rsid w:val="00D357CE"/>
    <w:rsid w:val="00D3617B"/>
    <w:rsid w:val="00D37773"/>
    <w:rsid w:val="00D379BA"/>
    <w:rsid w:val="00D40F5C"/>
    <w:rsid w:val="00D420AE"/>
    <w:rsid w:val="00D44172"/>
    <w:rsid w:val="00D45D35"/>
    <w:rsid w:val="00D47BE3"/>
    <w:rsid w:val="00D47D4F"/>
    <w:rsid w:val="00D50179"/>
    <w:rsid w:val="00D51045"/>
    <w:rsid w:val="00D519A1"/>
    <w:rsid w:val="00D51CAB"/>
    <w:rsid w:val="00D56513"/>
    <w:rsid w:val="00D60915"/>
    <w:rsid w:val="00D60F5D"/>
    <w:rsid w:val="00D61213"/>
    <w:rsid w:val="00D61D01"/>
    <w:rsid w:val="00D63087"/>
    <w:rsid w:val="00D63503"/>
    <w:rsid w:val="00D63B8C"/>
    <w:rsid w:val="00D63C1D"/>
    <w:rsid w:val="00D65F35"/>
    <w:rsid w:val="00D660E7"/>
    <w:rsid w:val="00D66335"/>
    <w:rsid w:val="00D66BDC"/>
    <w:rsid w:val="00D676DA"/>
    <w:rsid w:val="00D7083E"/>
    <w:rsid w:val="00D71FD6"/>
    <w:rsid w:val="00D72BE9"/>
    <w:rsid w:val="00D739CC"/>
    <w:rsid w:val="00D74750"/>
    <w:rsid w:val="00D7653F"/>
    <w:rsid w:val="00D765DC"/>
    <w:rsid w:val="00D773BB"/>
    <w:rsid w:val="00D7747D"/>
    <w:rsid w:val="00D779BB"/>
    <w:rsid w:val="00D806F9"/>
    <w:rsid w:val="00D8093D"/>
    <w:rsid w:val="00D8108C"/>
    <w:rsid w:val="00D812DD"/>
    <w:rsid w:val="00D828F5"/>
    <w:rsid w:val="00D837D0"/>
    <w:rsid w:val="00D83C0B"/>
    <w:rsid w:val="00D840B9"/>
    <w:rsid w:val="00D842AE"/>
    <w:rsid w:val="00D85526"/>
    <w:rsid w:val="00D86007"/>
    <w:rsid w:val="00D87172"/>
    <w:rsid w:val="00D9211C"/>
    <w:rsid w:val="00D921B4"/>
    <w:rsid w:val="00D92867"/>
    <w:rsid w:val="00D92DE0"/>
    <w:rsid w:val="00D92E5E"/>
    <w:rsid w:val="00D92FEF"/>
    <w:rsid w:val="00D93061"/>
    <w:rsid w:val="00D93152"/>
    <w:rsid w:val="00D931F9"/>
    <w:rsid w:val="00D93A0F"/>
    <w:rsid w:val="00D94EF0"/>
    <w:rsid w:val="00D96E66"/>
    <w:rsid w:val="00D97146"/>
    <w:rsid w:val="00D977F1"/>
    <w:rsid w:val="00DA0100"/>
    <w:rsid w:val="00DA0AB7"/>
    <w:rsid w:val="00DA1B21"/>
    <w:rsid w:val="00DA1BCA"/>
    <w:rsid w:val="00DA1FE7"/>
    <w:rsid w:val="00DA2601"/>
    <w:rsid w:val="00DA2E5C"/>
    <w:rsid w:val="00DA3663"/>
    <w:rsid w:val="00DA458A"/>
    <w:rsid w:val="00DA4E81"/>
    <w:rsid w:val="00DA517A"/>
    <w:rsid w:val="00DA6AB7"/>
    <w:rsid w:val="00DA7044"/>
    <w:rsid w:val="00DB0189"/>
    <w:rsid w:val="00DB07A2"/>
    <w:rsid w:val="00DB4047"/>
    <w:rsid w:val="00DB409A"/>
    <w:rsid w:val="00DB4126"/>
    <w:rsid w:val="00DB5AE9"/>
    <w:rsid w:val="00DC0AFC"/>
    <w:rsid w:val="00DC171A"/>
    <w:rsid w:val="00DC1F91"/>
    <w:rsid w:val="00DC229E"/>
    <w:rsid w:val="00DC2CA5"/>
    <w:rsid w:val="00DC33AF"/>
    <w:rsid w:val="00DC4005"/>
    <w:rsid w:val="00DC46FF"/>
    <w:rsid w:val="00DC48D8"/>
    <w:rsid w:val="00DC5254"/>
    <w:rsid w:val="00DC569D"/>
    <w:rsid w:val="00DC70E9"/>
    <w:rsid w:val="00DC7E4B"/>
    <w:rsid w:val="00DD0029"/>
    <w:rsid w:val="00DD0412"/>
    <w:rsid w:val="00DD1153"/>
    <w:rsid w:val="00DD1A4F"/>
    <w:rsid w:val="00DD2ACD"/>
    <w:rsid w:val="00DD2D0F"/>
    <w:rsid w:val="00DD3107"/>
    <w:rsid w:val="00DD4D62"/>
    <w:rsid w:val="00DD622C"/>
    <w:rsid w:val="00DD6490"/>
    <w:rsid w:val="00DD6D51"/>
    <w:rsid w:val="00DD77EC"/>
    <w:rsid w:val="00DD7C2C"/>
    <w:rsid w:val="00DE2074"/>
    <w:rsid w:val="00DE2223"/>
    <w:rsid w:val="00DE25F4"/>
    <w:rsid w:val="00DE3C25"/>
    <w:rsid w:val="00DE4055"/>
    <w:rsid w:val="00DE4475"/>
    <w:rsid w:val="00DE5BDA"/>
    <w:rsid w:val="00DE7099"/>
    <w:rsid w:val="00DE7FFB"/>
    <w:rsid w:val="00DF055E"/>
    <w:rsid w:val="00DF0D3D"/>
    <w:rsid w:val="00DF108E"/>
    <w:rsid w:val="00DF27AA"/>
    <w:rsid w:val="00DF37F4"/>
    <w:rsid w:val="00DF40E8"/>
    <w:rsid w:val="00DF433C"/>
    <w:rsid w:val="00DF519F"/>
    <w:rsid w:val="00DF5749"/>
    <w:rsid w:val="00DF6492"/>
    <w:rsid w:val="00DF66D4"/>
    <w:rsid w:val="00DF6912"/>
    <w:rsid w:val="00DF7EB0"/>
    <w:rsid w:val="00E0035A"/>
    <w:rsid w:val="00E00861"/>
    <w:rsid w:val="00E01A9A"/>
    <w:rsid w:val="00E035E3"/>
    <w:rsid w:val="00E0411C"/>
    <w:rsid w:val="00E043D6"/>
    <w:rsid w:val="00E04814"/>
    <w:rsid w:val="00E05A0E"/>
    <w:rsid w:val="00E06797"/>
    <w:rsid w:val="00E06A93"/>
    <w:rsid w:val="00E072F7"/>
    <w:rsid w:val="00E115F9"/>
    <w:rsid w:val="00E1265B"/>
    <w:rsid w:val="00E12E09"/>
    <w:rsid w:val="00E133B8"/>
    <w:rsid w:val="00E13AFE"/>
    <w:rsid w:val="00E13B48"/>
    <w:rsid w:val="00E1404F"/>
    <w:rsid w:val="00E150E2"/>
    <w:rsid w:val="00E17AF8"/>
    <w:rsid w:val="00E20711"/>
    <w:rsid w:val="00E20AF2"/>
    <w:rsid w:val="00E210D6"/>
    <w:rsid w:val="00E21C83"/>
    <w:rsid w:val="00E21CCD"/>
    <w:rsid w:val="00E2212D"/>
    <w:rsid w:val="00E24693"/>
    <w:rsid w:val="00E24ADA"/>
    <w:rsid w:val="00E26876"/>
    <w:rsid w:val="00E30768"/>
    <w:rsid w:val="00E3083F"/>
    <w:rsid w:val="00E30AB3"/>
    <w:rsid w:val="00E30EAC"/>
    <w:rsid w:val="00E32F59"/>
    <w:rsid w:val="00E35652"/>
    <w:rsid w:val="00E35F07"/>
    <w:rsid w:val="00E36605"/>
    <w:rsid w:val="00E36DB6"/>
    <w:rsid w:val="00E36DCB"/>
    <w:rsid w:val="00E37AE6"/>
    <w:rsid w:val="00E41908"/>
    <w:rsid w:val="00E41CE8"/>
    <w:rsid w:val="00E439FE"/>
    <w:rsid w:val="00E4456C"/>
    <w:rsid w:val="00E445EE"/>
    <w:rsid w:val="00E46BCD"/>
    <w:rsid w:val="00E46D9A"/>
    <w:rsid w:val="00E50D32"/>
    <w:rsid w:val="00E52EA0"/>
    <w:rsid w:val="00E52F27"/>
    <w:rsid w:val="00E54E85"/>
    <w:rsid w:val="00E5512B"/>
    <w:rsid w:val="00E55ED8"/>
    <w:rsid w:val="00E565FF"/>
    <w:rsid w:val="00E57176"/>
    <w:rsid w:val="00E60B20"/>
    <w:rsid w:val="00E61350"/>
    <w:rsid w:val="00E613E2"/>
    <w:rsid w:val="00E619EE"/>
    <w:rsid w:val="00E62964"/>
    <w:rsid w:val="00E634DC"/>
    <w:rsid w:val="00E63BD4"/>
    <w:rsid w:val="00E6455E"/>
    <w:rsid w:val="00E65388"/>
    <w:rsid w:val="00E65D5C"/>
    <w:rsid w:val="00E66474"/>
    <w:rsid w:val="00E66A2C"/>
    <w:rsid w:val="00E709E2"/>
    <w:rsid w:val="00E70ADA"/>
    <w:rsid w:val="00E7126C"/>
    <w:rsid w:val="00E71E1F"/>
    <w:rsid w:val="00E72B4A"/>
    <w:rsid w:val="00E74F94"/>
    <w:rsid w:val="00E7633A"/>
    <w:rsid w:val="00E76498"/>
    <w:rsid w:val="00E7741D"/>
    <w:rsid w:val="00E807D9"/>
    <w:rsid w:val="00E808CD"/>
    <w:rsid w:val="00E81510"/>
    <w:rsid w:val="00E81A48"/>
    <w:rsid w:val="00E8281C"/>
    <w:rsid w:val="00E82BA1"/>
    <w:rsid w:val="00E8348F"/>
    <w:rsid w:val="00E84530"/>
    <w:rsid w:val="00E85B7D"/>
    <w:rsid w:val="00E86319"/>
    <w:rsid w:val="00E86CBF"/>
    <w:rsid w:val="00E9107C"/>
    <w:rsid w:val="00E91133"/>
    <w:rsid w:val="00E9121B"/>
    <w:rsid w:val="00E91398"/>
    <w:rsid w:val="00E9302E"/>
    <w:rsid w:val="00E9334D"/>
    <w:rsid w:val="00E93A6C"/>
    <w:rsid w:val="00E93D59"/>
    <w:rsid w:val="00E976AB"/>
    <w:rsid w:val="00EA0AE2"/>
    <w:rsid w:val="00EA1A43"/>
    <w:rsid w:val="00EA2BD8"/>
    <w:rsid w:val="00EA2E25"/>
    <w:rsid w:val="00EA39E5"/>
    <w:rsid w:val="00EA3E22"/>
    <w:rsid w:val="00EA5023"/>
    <w:rsid w:val="00EA57A3"/>
    <w:rsid w:val="00EA5CE4"/>
    <w:rsid w:val="00EA668D"/>
    <w:rsid w:val="00EB11D1"/>
    <w:rsid w:val="00EB23E0"/>
    <w:rsid w:val="00EB5ABD"/>
    <w:rsid w:val="00EB5C81"/>
    <w:rsid w:val="00EB63BC"/>
    <w:rsid w:val="00EB6462"/>
    <w:rsid w:val="00EB646C"/>
    <w:rsid w:val="00EB79E2"/>
    <w:rsid w:val="00EC0275"/>
    <w:rsid w:val="00EC0A12"/>
    <w:rsid w:val="00EC0A72"/>
    <w:rsid w:val="00EC1068"/>
    <w:rsid w:val="00EC1105"/>
    <w:rsid w:val="00EC27A6"/>
    <w:rsid w:val="00EC2813"/>
    <w:rsid w:val="00EC2F1F"/>
    <w:rsid w:val="00EC2F4A"/>
    <w:rsid w:val="00EC3443"/>
    <w:rsid w:val="00EC3758"/>
    <w:rsid w:val="00EC4514"/>
    <w:rsid w:val="00EC581A"/>
    <w:rsid w:val="00EC5A46"/>
    <w:rsid w:val="00EC63E2"/>
    <w:rsid w:val="00EC65F2"/>
    <w:rsid w:val="00EC6668"/>
    <w:rsid w:val="00EC6C6F"/>
    <w:rsid w:val="00EC6FAD"/>
    <w:rsid w:val="00ED0225"/>
    <w:rsid w:val="00ED1119"/>
    <w:rsid w:val="00ED19FB"/>
    <w:rsid w:val="00ED1F5F"/>
    <w:rsid w:val="00ED366A"/>
    <w:rsid w:val="00ED39AF"/>
    <w:rsid w:val="00ED499C"/>
    <w:rsid w:val="00ED666A"/>
    <w:rsid w:val="00ED6BB7"/>
    <w:rsid w:val="00EE29B8"/>
    <w:rsid w:val="00EF02D2"/>
    <w:rsid w:val="00EF0ACA"/>
    <w:rsid w:val="00EF1D21"/>
    <w:rsid w:val="00EF22B3"/>
    <w:rsid w:val="00EF2767"/>
    <w:rsid w:val="00EF291C"/>
    <w:rsid w:val="00EF2BFD"/>
    <w:rsid w:val="00EF3115"/>
    <w:rsid w:val="00EF3A4B"/>
    <w:rsid w:val="00EF432F"/>
    <w:rsid w:val="00EF4523"/>
    <w:rsid w:val="00EF70CF"/>
    <w:rsid w:val="00EF7F1B"/>
    <w:rsid w:val="00F0235F"/>
    <w:rsid w:val="00F03B69"/>
    <w:rsid w:val="00F04932"/>
    <w:rsid w:val="00F05E2C"/>
    <w:rsid w:val="00F064C5"/>
    <w:rsid w:val="00F070A7"/>
    <w:rsid w:val="00F076A5"/>
    <w:rsid w:val="00F07A50"/>
    <w:rsid w:val="00F113DA"/>
    <w:rsid w:val="00F120E7"/>
    <w:rsid w:val="00F1247A"/>
    <w:rsid w:val="00F1250A"/>
    <w:rsid w:val="00F12D9E"/>
    <w:rsid w:val="00F1316D"/>
    <w:rsid w:val="00F142C9"/>
    <w:rsid w:val="00F15384"/>
    <w:rsid w:val="00F158E9"/>
    <w:rsid w:val="00F179E9"/>
    <w:rsid w:val="00F17BC1"/>
    <w:rsid w:val="00F20520"/>
    <w:rsid w:val="00F21D3B"/>
    <w:rsid w:val="00F22AE7"/>
    <w:rsid w:val="00F24BFD"/>
    <w:rsid w:val="00F258FD"/>
    <w:rsid w:val="00F26070"/>
    <w:rsid w:val="00F266FC"/>
    <w:rsid w:val="00F27061"/>
    <w:rsid w:val="00F27164"/>
    <w:rsid w:val="00F27969"/>
    <w:rsid w:val="00F3037A"/>
    <w:rsid w:val="00F3065C"/>
    <w:rsid w:val="00F32136"/>
    <w:rsid w:val="00F3294B"/>
    <w:rsid w:val="00F33DB7"/>
    <w:rsid w:val="00F3465A"/>
    <w:rsid w:val="00F35DEF"/>
    <w:rsid w:val="00F36285"/>
    <w:rsid w:val="00F36BA3"/>
    <w:rsid w:val="00F37A24"/>
    <w:rsid w:val="00F37DC8"/>
    <w:rsid w:val="00F400F3"/>
    <w:rsid w:val="00F42151"/>
    <w:rsid w:val="00F431B4"/>
    <w:rsid w:val="00F439B3"/>
    <w:rsid w:val="00F444C1"/>
    <w:rsid w:val="00F447A2"/>
    <w:rsid w:val="00F449DA"/>
    <w:rsid w:val="00F44A42"/>
    <w:rsid w:val="00F44BFA"/>
    <w:rsid w:val="00F45B5D"/>
    <w:rsid w:val="00F47C3D"/>
    <w:rsid w:val="00F50592"/>
    <w:rsid w:val="00F52E57"/>
    <w:rsid w:val="00F5361E"/>
    <w:rsid w:val="00F5483A"/>
    <w:rsid w:val="00F553B1"/>
    <w:rsid w:val="00F5791D"/>
    <w:rsid w:val="00F601B8"/>
    <w:rsid w:val="00F6024A"/>
    <w:rsid w:val="00F60EA4"/>
    <w:rsid w:val="00F61168"/>
    <w:rsid w:val="00F6116F"/>
    <w:rsid w:val="00F61FA2"/>
    <w:rsid w:val="00F62C68"/>
    <w:rsid w:val="00F650C3"/>
    <w:rsid w:val="00F65CEC"/>
    <w:rsid w:val="00F65D85"/>
    <w:rsid w:val="00F6666F"/>
    <w:rsid w:val="00F6700B"/>
    <w:rsid w:val="00F704AA"/>
    <w:rsid w:val="00F7137B"/>
    <w:rsid w:val="00F72798"/>
    <w:rsid w:val="00F72F54"/>
    <w:rsid w:val="00F7386C"/>
    <w:rsid w:val="00F73B55"/>
    <w:rsid w:val="00F8091E"/>
    <w:rsid w:val="00F819F8"/>
    <w:rsid w:val="00F83937"/>
    <w:rsid w:val="00F854C6"/>
    <w:rsid w:val="00F85F1D"/>
    <w:rsid w:val="00F8615C"/>
    <w:rsid w:val="00F86369"/>
    <w:rsid w:val="00F910D8"/>
    <w:rsid w:val="00F922C6"/>
    <w:rsid w:val="00F92DC9"/>
    <w:rsid w:val="00F9457C"/>
    <w:rsid w:val="00F969E5"/>
    <w:rsid w:val="00FA0CE2"/>
    <w:rsid w:val="00FA461B"/>
    <w:rsid w:val="00FA4907"/>
    <w:rsid w:val="00FA4972"/>
    <w:rsid w:val="00FA6BB0"/>
    <w:rsid w:val="00FB03CC"/>
    <w:rsid w:val="00FB0A32"/>
    <w:rsid w:val="00FB15EC"/>
    <w:rsid w:val="00FB2626"/>
    <w:rsid w:val="00FB2DBD"/>
    <w:rsid w:val="00FB3CF2"/>
    <w:rsid w:val="00FB47C7"/>
    <w:rsid w:val="00FB5B60"/>
    <w:rsid w:val="00FB6F7C"/>
    <w:rsid w:val="00FB7178"/>
    <w:rsid w:val="00FB7C8C"/>
    <w:rsid w:val="00FC2271"/>
    <w:rsid w:val="00FC2C1C"/>
    <w:rsid w:val="00FC2D6C"/>
    <w:rsid w:val="00FC405A"/>
    <w:rsid w:val="00FC5CEE"/>
    <w:rsid w:val="00FC62BA"/>
    <w:rsid w:val="00FC63B0"/>
    <w:rsid w:val="00FD0B00"/>
    <w:rsid w:val="00FD0F67"/>
    <w:rsid w:val="00FD1787"/>
    <w:rsid w:val="00FD27BC"/>
    <w:rsid w:val="00FD2820"/>
    <w:rsid w:val="00FD286F"/>
    <w:rsid w:val="00FD3340"/>
    <w:rsid w:val="00FD365F"/>
    <w:rsid w:val="00FD48DF"/>
    <w:rsid w:val="00FD5860"/>
    <w:rsid w:val="00FD591A"/>
    <w:rsid w:val="00FD5A29"/>
    <w:rsid w:val="00FD7D02"/>
    <w:rsid w:val="00FE193F"/>
    <w:rsid w:val="00FE28A8"/>
    <w:rsid w:val="00FE352D"/>
    <w:rsid w:val="00FE40EB"/>
    <w:rsid w:val="00FE4C8C"/>
    <w:rsid w:val="00FE4D02"/>
    <w:rsid w:val="00FE530D"/>
    <w:rsid w:val="00FE6A6F"/>
    <w:rsid w:val="00FE6C25"/>
    <w:rsid w:val="00FE7D62"/>
    <w:rsid w:val="00FF1C64"/>
    <w:rsid w:val="00FF311B"/>
    <w:rsid w:val="00FF3819"/>
    <w:rsid w:val="00FF4174"/>
    <w:rsid w:val="00FF46FC"/>
    <w:rsid w:val="00FF4E2D"/>
    <w:rsid w:val="00FF5176"/>
    <w:rsid w:val="00FF55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406B4B"/>
  <w15:docId w15:val="{0CED5DA5-2F7F-4665-BC74-16C52E7A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42858"/>
    <w:pPr>
      <w:tabs>
        <w:tab w:val="left" w:pos="1247"/>
        <w:tab w:val="left" w:pos="1814"/>
        <w:tab w:val="left" w:pos="2381"/>
        <w:tab w:val="left" w:pos="2948"/>
        <w:tab w:val="left" w:pos="3515"/>
      </w:tabs>
    </w:pPr>
    <w:rPr>
      <w:lang w:val="fr-FR" w:eastAsia="en-US"/>
    </w:rPr>
  </w:style>
  <w:style w:type="paragraph" w:styleId="Heading1">
    <w:name w:val="heading 1"/>
    <w:basedOn w:val="Normal"/>
    <w:next w:val="Normalnumber"/>
    <w:link w:val="Heading1Char"/>
    <w:qFormat/>
    <w:rsid w:val="00B42858"/>
    <w:pPr>
      <w:keepNext/>
      <w:spacing w:before="240" w:after="120"/>
      <w:ind w:left="1247" w:hanging="680"/>
      <w:outlineLvl w:val="0"/>
    </w:pPr>
    <w:rPr>
      <w:b/>
      <w:sz w:val="28"/>
    </w:rPr>
  </w:style>
  <w:style w:type="paragraph" w:styleId="Heading2">
    <w:name w:val="heading 2"/>
    <w:basedOn w:val="Normal"/>
    <w:next w:val="Normalnumber"/>
    <w:link w:val="Heading2Char"/>
    <w:qFormat/>
    <w:rsid w:val="00B42858"/>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B42858"/>
    <w:pPr>
      <w:spacing w:after="120"/>
      <w:ind w:left="1247" w:hanging="680"/>
      <w:outlineLvl w:val="2"/>
    </w:pPr>
    <w:rPr>
      <w:b/>
    </w:rPr>
  </w:style>
  <w:style w:type="paragraph" w:styleId="Heading4">
    <w:name w:val="heading 4"/>
    <w:basedOn w:val="Heading3"/>
    <w:next w:val="Normalnumber"/>
    <w:link w:val="Heading4Char"/>
    <w:qFormat/>
    <w:rsid w:val="00B42858"/>
    <w:pPr>
      <w:keepNext/>
      <w:outlineLvl w:val="3"/>
    </w:pPr>
  </w:style>
  <w:style w:type="paragraph" w:styleId="Heading5">
    <w:name w:val="heading 5"/>
    <w:basedOn w:val="Normal"/>
    <w:next w:val="Normal"/>
    <w:link w:val="Heading5Char"/>
    <w:qFormat/>
    <w:rsid w:val="00B42858"/>
    <w:pPr>
      <w:keepNext/>
      <w:outlineLvl w:val="4"/>
    </w:pPr>
    <w:rPr>
      <w:rFonts w:ascii="Univers" w:hAnsi="Univers"/>
      <w:b/>
      <w:sz w:val="24"/>
    </w:rPr>
  </w:style>
  <w:style w:type="paragraph" w:styleId="Heading6">
    <w:name w:val="heading 6"/>
    <w:basedOn w:val="Normal"/>
    <w:next w:val="Normal"/>
    <w:link w:val="Heading6Char"/>
    <w:qFormat/>
    <w:rsid w:val="00B42858"/>
    <w:pPr>
      <w:keepNext/>
      <w:ind w:left="578"/>
      <w:outlineLvl w:val="5"/>
    </w:pPr>
    <w:rPr>
      <w:b/>
      <w:bCs/>
      <w:sz w:val="24"/>
    </w:rPr>
  </w:style>
  <w:style w:type="paragraph" w:styleId="Heading7">
    <w:name w:val="heading 7"/>
    <w:basedOn w:val="Normal"/>
    <w:next w:val="Normal"/>
    <w:link w:val="Heading7Char"/>
    <w:qFormat/>
    <w:rsid w:val="00B42858"/>
    <w:pPr>
      <w:keepNext/>
      <w:widowControl w:val="0"/>
      <w:jc w:val="center"/>
      <w:outlineLvl w:val="6"/>
    </w:pPr>
    <w:rPr>
      <w:snapToGrid w:val="0"/>
      <w:u w:val="single"/>
      <w:lang w:val="en-US"/>
    </w:rPr>
  </w:style>
  <w:style w:type="paragraph" w:styleId="Heading8">
    <w:name w:val="heading 8"/>
    <w:basedOn w:val="Normal"/>
    <w:next w:val="Normal"/>
    <w:link w:val="Heading8Char"/>
    <w:qFormat/>
    <w:rsid w:val="00B42858"/>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B42858"/>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42858"/>
    <w:rPr>
      <w:rFonts w:ascii="Times New Roman" w:hAnsi="Times New Roman"/>
      <w:b/>
      <w:sz w:val="18"/>
    </w:rPr>
  </w:style>
  <w:style w:type="table" w:customStyle="1" w:styleId="Tabledocright">
    <w:name w:val="Table_doc_right"/>
    <w:basedOn w:val="TableNormal"/>
    <w:rsid w:val="00B42858"/>
    <w:pPr>
      <w:spacing w:before="40" w:after="40"/>
    </w:pPr>
    <w:rPr>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42858"/>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42858"/>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42858"/>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42858"/>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B42858"/>
    <w:rPr>
      <w:bCs w:val="0"/>
    </w:rPr>
  </w:style>
  <w:style w:type="paragraph" w:styleId="TableofFigures">
    <w:name w:val="table of figures"/>
    <w:basedOn w:val="Normal"/>
    <w:next w:val="Normal"/>
    <w:autoRedefine/>
    <w:semiHidden/>
    <w:rsid w:val="00B42858"/>
    <w:pPr>
      <w:tabs>
        <w:tab w:val="clear" w:pos="1814"/>
        <w:tab w:val="clear" w:pos="2381"/>
        <w:tab w:val="clear" w:pos="2948"/>
        <w:tab w:val="clear" w:pos="3515"/>
      </w:tabs>
      <w:ind w:left="1814" w:hanging="567"/>
    </w:pPr>
  </w:style>
  <w:style w:type="paragraph" w:customStyle="1" w:styleId="CH1">
    <w:name w:val="CH1"/>
    <w:basedOn w:val="Normalpool"/>
    <w:next w:val="CH2"/>
    <w:rsid w:val="00B42858"/>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B42858"/>
    <w:pPr>
      <w:keepNext/>
      <w:keepLines/>
      <w:tabs>
        <w:tab w:val="right" w:pos="851"/>
      </w:tabs>
      <w:suppressAutoHyphens/>
      <w:spacing w:before="80" w:after="120"/>
      <w:ind w:left="1247" w:right="284" w:hanging="1247"/>
    </w:pPr>
    <w:rPr>
      <w:b/>
      <w:sz w:val="24"/>
      <w:szCs w:val="24"/>
    </w:rPr>
  </w:style>
  <w:style w:type="paragraph" w:customStyle="1" w:styleId="CH3">
    <w:name w:val="CH3"/>
    <w:basedOn w:val="Normalpool"/>
    <w:next w:val="Normalnumber"/>
    <w:link w:val="CH3Char"/>
    <w:rsid w:val="00B42858"/>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B42858"/>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B42858"/>
    <w:rPr>
      <w:rFonts w:ascii="Arial" w:hAnsi="Arial"/>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B42858"/>
    <w:pPr>
      <w:keepNext/>
      <w:keepLines/>
      <w:tabs>
        <w:tab w:val="right" w:pos="851"/>
      </w:tabs>
      <w:suppressAutoHyphens/>
      <w:spacing w:after="120"/>
      <w:ind w:left="1247" w:right="284" w:hanging="1247"/>
    </w:pPr>
    <w:rPr>
      <w:b/>
    </w:rPr>
  </w:style>
  <w:style w:type="paragraph" w:customStyle="1" w:styleId="Footerpool">
    <w:name w:val="Footer_pool"/>
    <w:basedOn w:val="Normal"/>
    <w:next w:val="Normal"/>
    <w:semiHidden/>
    <w:rsid w:val="00B42858"/>
    <w:pPr>
      <w:tabs>
        <w:tab w:val="left" w:pos="4321"/>
        <w:tab w:val="right" w:pos="8641"/>
      </w:tabs>
      <w:spacing w:before="60" w:after="120"/>
    </w:pPr>
    <w:rPr>
      <w:b/>
      <w:sz w:val="18"/>
    </w:rPr>
  </w:style>
  <w:style w:type="paragraph" w:customStyle="1" w:styleId="Headerpool">
    <w:name w:val="Header_pool"/>
    <w:basedOn w:val="Normal"/>
    <w:next w:val="Normal"/>
    <w:semiHidden/>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autoRedefine/>
    <w:semiHidden/>
    <w:rsid w:val="00B42858"/>
    <w:pPr>
      <w:tabs>
        <w:tab w:val="left" w:pos="1247"/>
        <w:tab w:val="left" w:pos="1814"/>
        <w:tab w:val="left" w:pos="2381"/>
        <w:tab w:val="left" w:pos="2948"/>
        <w:tab w:val="left" w:pos="3515"/>
        <w:tab w:val="left" w:pos="4082"/>
      </w:tabs>
    </w:pPr>
    <w:rPr>
      <w:lang w:val="fr-CA" w:eastAsia="en-US"/>
    </w:rPr>
  </w:style>
  <w:style w:type="paragraph" w:customStyle="1" w:styleId="Footer-pool">
    <w:name w:val="Footer-pool"/>
    <w:basedOn w:val="Normal-pool"/>
    <w:next w:val="Normal-pool"/>
    <w:rsid w:val="00B42858"/>
    <w:pPr>
      <w:tabs>
        <w:tab w:val="left" w:pos="4321"/>
        <w:tab w:val="right" w:pos="8641"/>
      </w:tabs>
      <w:spacing w:before="60" w:after="120"/>
    </w:pPr>
    <w:rPr>
      <w:b/>
      <w:sz w:val="18"/>
    </w:rPr>
  </w:style>
  <w:style w:type="paragraph" w:customStyle="1" w:styleId="Header-pool">
    <w:name w:val="Header-pool"/>
    <w:basedOn w:val="Normal-pool"/>
    <w:next w:val="Normal-pool"/>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rsid w:val="00B42858"/>
    <w:pPr>
      <w:tabs>
        <w:tab w:val="left" w:pos="1247"/>
        <w:tab w:val="left" w:pos="1814"/>
        <w:tab w:val="left" w:pos="2381"/>
        <w:tab w:val="left" w:pos="2948"/>
        <w:tab w:val="left" w:pos="3515"/>
        <w:tab w:val="left" w:pos="4082"/>
      </w:tabs>
    </w:pPr>
    <w:rPr>
      <w:lang w:val="fr-CA" w:eastAsia="en-US"/>
    </w:rPr>
  </w:style>
  <w:style w:type="character" w:styleId="FootnoteReference">
    <w:name w:val="footnote reference"/>
    <w:aliases w:val="16 Point,Superscript 6 Point,ftref,(Ref. de nota al pie),number,SUPERS,Footnote Reference Superscript"/>
    <w:rsid w:val="00B42858"/>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93"/>
    <w:basedOn w:val="Normalpool"/>
    <w:link w:val="FootnoteTextChar"/>
    <w:rsid w:val="00B42858"/>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CA"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rsid w:val="00B42858"/>
    <w:rPr>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B42858"/>
    <w:pPr>
      <w:keepNext/>
      <w:keepLines/>
      <w:suppressAutoHyphens/>
      <w:ind w:right="5103"/>
    </w:pPr>
    <w:rPr>
      <w:b/>
    </w:rPr>
  </w:style>
  <w:style w:type="paragraph" w:customStyle="1" w:styleId="AATitle2">
    <w:name w:val="AA_Title2"/>
    <w:basedOn w:val="AATitle"/>
    <w:rsid w:val="00B42858"/>
    <w:pPr>
      <w:tabs>
        <w:tab w:val="clear" w:pos="4082"/>
      </w:tabs>
      <w:spacing w:before="120" w:after="120"/>
      <w:ind w:right="4536"/>
    </w:pPr>
  </w:style>
  <w:style w:type="paragraph" w:customStyle="1" w:styleId="BBTitle">
    <w:name w:val="BB_Title"/>
    <w:basedOn w:val="Normalpool"/>
    <w:link w:val="BBTitleChar"/>
    <w:rsid w:val="00B42858"/>
    <w:pPr>
      <w:keepNext/>
      <w:keepLines/>
      <w:suppressAutoHyphens/>
      <w:spacing w:before="320" w:after="240"/>
      <w:ind w:left="1247" w:right="567"/>
    </w:pPr>
    <w:rPr>
      <w:b/>
      <w:sz w:val="28"/>
      <w:szCs w:val="28"/>
    </w:rPr>
  </w:style>
  <w:style w:type="paragraph" w:styleId="Footer">
    <w:name w:val="footer"/>
    <w:basedOn w:val="Normal"/>
    <w:link w:val="FooterChar"/>
    <w:rsid w:val="00B42858"/>
    <w:pPr>
      <w:tabs>
        <w:tab w:val="center" w:pos="4320"/>
        <w:tab w:val="right" w:pos="8640"/>
      </w:tabs>
      <w:spacing w:before="60" w:after="120"/>
    </w:pPr>
    <w:rPr>
      <w:sz w:val="18"/>
    </w:rPr>
  </w:style>
  <w:style w:type="paragraph" w:styleId="Header">
    <w:name w:val="header"/>
    <w:basedOn w:val="Normal"/>
    <w:link w:val="HeaderChar"/>
    <w:rsid w:val="00B42858"/>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42858"/>
    <w:rPr>
      <w:rFonts w:ascii="Times New Roman" w:hAnsi="Times New Roman"/>
      <w:color w:val="auto"/>
      <w:sz w:val="20"/>
      <w:szCs w:val="20"/>
      <w:u w:val="none"/>
      <w:lang w:val="fr-FR"/>
    </w:rPr>
  </w:style>
  <w:style w:type="numbering" w:customStyle="1" w:styleId="Normallist">
    <w:name w:val="Normal_list"/>
    <w:basedOn w:val="NoList"/>
    <w:rsid w:val="00B42858"/>
    <w:pPr>
      <w:numPr>
        <w:numId w:val="4"/>
      </w:numPr>
    </w:pPr>
  </w:style>
  <w:style w:type="paragraph" w:customStyle="1" w:styleId="NormalNonumber">
    <w:name w:val="Normal_No_number"/>
    <w:basedOn w:val="Normalpool"/>
    <w:link w:val="NormalNonumberChar"/>
    <w:rsid w:val="00B42858"/>
    <w:pPr>
      <w:spacing w:after="120"/>
      <w:ind w:left="1247"/>
    </w:pPr>
  </w:style>
  <w:style w:type="paragraph" w:customStyle="1" w:styleId="Normalnumber">
    <w:name w:val="Normal_number"/>
    <w:basedOn w:val="Normalpool"/>
    <w:link w:val="NormalnumberChar"/>
    <w:rsid w:val="00F9457C"/>
    <w:pPr>
      <w:numPr>
        <w:numId w:val="1"/>
      </w:numPr>
      <w:tabs>
        <w:tab w:val="clear" w:pos="3515"/>
      </w:tabs>
      <w:spacing w:after="120"/>
    </w:pPr>
    <w:rPr>
      <w:lang w:val="fr-FR"/>
    </w:rPr>
  </w:style>
  <w:style w:type="paragraph" w:customStyle="1" w:styleId="Titletable">
    <w:name w:val="Title_table"/>
    <w:basedOn w:val="Normalpool"/>
    <w:rsid w:val="00B42858"/>
    <w:pPr>
      <w:keepNext/>
      <w:keepLines/>
      <w:suppressAutoHyphens/>
      <w:spacing w:after="60"/>
      <w:ind w:left="1247"/>
    </w:pPr>
    <w:rPr>
      <w:b/>
      <w:bCs/>
    </w:rPr>
  </w:style>
  <w:style w:type="paragraph" w:styleId="TOC1">
    <w:name w:val="toc 1"/>
    <w:basedOn w:val="Normalpool"/>
    <w:next w:val="Normalpool"/>
    <w:uiPriority w:val="39"/>
    <w:rsid w:val="00B42858"/>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B42858"/>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B42858"/>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B42858"/>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B42858"/>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B42858"/>
    <w:rPr>
      <w:b/>
      <w:bCs/>
      <w:sz w:val="28"/>
      <w:szCs w:val="22"/>
    </w:rPr>
  </w:style>
  <w:style w:type="paragraph" w:customStyle="1" w:styleId="ZZAnxtitle">
    <w:name w:val="ZZ_Anx_title"/>
    <w:basedOn w:val="Normalpool"/>
    <w:link w:val="ZZAnxtitleChar"/>
    <w:rsid w:val="00B42858"/>
    <w:pPr>
      <w:spacing w:before="360" w:after="120"/>
      <w:ind w:left="1247"/>
    </w:pPr>
    <w:rPr>
      <w:b/>
      <w:bCs/>
      <w:sz w:val="28"/>
      <w:szCs w:val="26"/>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Normal-poolChar">
    <w:name w:val="Normal-pool Char"/>
    <w:link w:val="Normal-pool"/>
    <w:rsid w:val="008228B5"/>
    <w:rPr>
      <w:lang w:val="fr-CA" w:eastAsia="en-US"/>
    </w:rPr>
  </w:style>
  <w:style w:type="character" w:customStyle="1" w:styleId="ZZAnxheaderChar">
    <w:name w:val="ZZ_Anx_header Char"/>
    <w:link w:val="ZZAnxheader"/>
    <w:rsid w:val="008228B5"/>
    <w:rPr>
      <w:b/>
      <w:bCs/>
      <w:sz w:val="28"/>
      <w:szCs w:val="22"/>
      <w:lang w:val="fr-CA" w:eastAsia="en-US"/>
    </w:rPr>
  </w:style>
  <w:style w:type="character" w:customStyle="1" w:styleId="ZZAnxtitleChar">
    <w:name w:val="ZZ_Anx_title Char"/>
    <w:link w:val="ZZAnxtitle"/>
    <w:rsid w:val="008228B5"/>
    <w:rPr>
      <w:b/>
      <w:bCs/>
      <w:sz w:val="28"/>
      <w:szCs w:val="26"/>
      <w:lang w:val="fr-CA" w:eastAsia="en-US"/>
    </w:rPr>
  </w:style>
  <w:style w:type="character" w:customStyle="1" w:styleId="CH3Char">
    <w:name w:val="CH3 Char"/>
    <w:link w:val="CH3"/>
    <w:rsid w:val="008228B5"/>
    <w:rPr>
      <w:b/>
      <w:lang w:val="fr-CA" w:eastAsia="en-US"/>
    </w:rPr>
  </w:style>
  <w:style w:type="character" w:customStyle="1" w:styleId="NormalNonumberChar">
    <w:name w:val="Normal_No_number Char"/>
    <w:link w:val="NormalNonumber"/>
    <w:rsid w:val="008228B5"/>
    <w:rPr>
      <w:lang w:val="fr-CA" w:eastAsia="en-US"/>
    </w:rPr>
  </w:style>
  <w:style w:type="paragraph" w:styleId="EnvelopeReturn">
    <w:name w:val="envelope return"/>
    <w:basedOn w:val="Normal"/>
    <w:unhideWhenUsed/>
    <w:rsid w:val="008228B5"/>
    <w:pPr>
      <w:widowControl w:val="0"/>
      <w:tabs>
        <w:tab w:val="left" w:pos="-720"/>
      </w:tabs>
      <w:suppressAutoHyphens/>
      <w:snapToGrid w:val="0"/>
    </w:pPr>
    <w:rPr>
      <w:rFonts w:ascii="Garamond" w:hAnsi="Garamond"/>
      <w:sz w:val="22"/>
      <w:lang w:val="en-GB"/>
    </w:rPr>
  </w:style>
  <w:style w:type="character" w:customStyle="1" w:styleId="DeltaViewInsertion">
    <w:name w:val="DeltaView Insertion"/>
    <w:uiPriority w:val="99"/>
    <w:rsid w:val="009E159C"/>
    <w:rPr>
      <w:color w:val="0000FF"/>
      <w:u w:val="double"/>
    </w:rPr>
  </w:style>
  <w:style w:type="character" w:customStyle="1" w:styleId="CH2Char">
    <w:name w:val="CH2 Char"/>
    <w:link w:val="CH2"/>
    <w:locked/>
    <w:rsid w:val="00047771"/>
    <w:rPr>
      <w:b/>
      <w:sz w:val="24"/>
      <w:szCs w:val="24"/>
      <w:lang w:val="fr-CA" w:eastAsia="en-US"/>
    </w:rPr>
  </w:style>
  <w:style w:type="paragraph" w:customStyle="1" w:styleId="Brdtext">
    <w:name w:val="Brödtext"/>
    <w:rsid w:val="00047771"/>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047771"/>
  </w:style>
  <w:style w:type="paragraph" w:customStyle="1" w:styleId="Body">
    <w:name w:val="Body"/>
    <w:rsid w:val="006C47D7"/>
    <w:pPr>
      <w:pBdr>
        <w:top w:val="nil"/>
        <w:left w:val="nil"/>
        <w:bottom w:val="nil"/>
        <w:right w:val="nil"/>
        <w:between w:val="nil"/>
        <w:bar w:val="nil"/>
      </w:pBdr>
      <w:tabs>
        <w:tab w:val="left" w:pos="1247"/>
        <w:tab w:val="left" w:pos="1814"/>
        <w:tab w:val="left" w:pos="2381"/>
        <w:tab w:val="left" w:pos="2948"/>
        <w:tab w:val="left" w:pos="3515"/>
      </w:tabs>
    </w:pPr>
    <w:rPr>
      <w:color w:val="000000"/>
      <w:u w:color="000000"/>
      <w:bdr w:val="nil"/>
      <w:lang w:eastAsia="en-GB"/>
    </w:rPr>
  </w:style>
  <w:style w:type="character" w:customStyle="1" w:styleId="Heading1Char">
    <w:name w:val="Heading 1 Char"/>
    <w:basedOn w:val="DefaultParagraphFont"/>
    <w:link w:val="Heading1"/>
    <w:rsid w:val="00A06DF8"/>
    <w:rPr>
      <w:b/>
      <w:sz w:val="28"/>
      <w:lang w:val="fr-FR" w:eastAsia="en-US"/>
    </w:rPr>
  </w:style>
  <w:style w:type="character" w:customStyle="1" w:styleId="Heading2Char">
    <w:name w:val="Heading 2 Char"/>
    <w:basedOn w:val="DefaultParagraphFont"/>
    <w:link w:val="Heading2"/>
    <w:rsid w:val="00A06DF8"/>
    <w:rPr>
      <w:b/>
      <w:sz w:val="24"/>
      <w:szCs w:val="24"/>
      <w:lang w:val="fr-FR" w:eastAsia="en-US"/>
    </w:rPr>
  </w:style>
  <w:style w:type="character" w:customStyle="1" w:styleId="Heading3Char">
    <w:name w:val="Heading 3 Char"/>
    <w:basedOn w:val="DefaultParagraphFont"/>
    <w:link w:val="Heading3"/>
    <w:rsid w:val="00A06DF8"/>
    <w:rPr>
      <w:b/>
      <w:lang w:val="fr-FR" w:eastAsia="en-US"/>
    </w:rPr>
  </w:style>
  <w:style w:type="character" w:customStyle="1" w:styleId="Heading4Char">
    <w:name w:val="Heading 4 Char"/>
    <w:basedOn w:val="DefaultParagraphFont"/>
    <w:link w:val="Heading4"/>
    <w:rsid w:val="00A06DF8"/>
    <w:rPr>
      <w:b/>
      <w:lang w:val="fr-FR" w:eastAsia="en-US"/>
    </w:rPr>
  </w:style>
  <w:style w:type="character" w:customStyle="1" w:styleId="Heading5Char">
    <w:name w:val="Heading 5 Char"/>
    <w:basedOn w:val="DefaultParagraphFont"/>
    <w:link w:val="Heading5"/>
    <w:rsid w:val="00A06DF8"/>
    <w:rPr>
      <w:rFonts w:ascii="Univers" w:hAnsi="Univers"/>
      <w:b/>
      <w:sz w:val="24"/>
      <w:lang w:val="fr-FR" w:eastAsia="en-US"/>
    </w:rPr>
  </w:style>
  <w:style w:type="character" w:customStyle="1" w:styleId="Heading6Char">
    <w:name w:val="Heading 6 Char"/>
    <w:basedOn w:val="DefaultParagraphFont"/>
    <w:link w:val="Heading6"/>
    <w:rsid w:val="00A06DF8"/>
    <w:rPr>
      <w:b/>
      <w:bCs/>
      <w:sz w:val="24"/>
      <w:lang w:val="fr-FR" w:eastAsia="en-US"/>
    </w:rPr>
  </w:style>
  <w:style w:type="character" w:customStyle="1" w:styleId="Heading7Char">
    <w:name w:val="Heading 7 Char"/>
    <w:basedOn w:val="DefaultParagraphFont"/>
    <w:link w:val="Heading7"/>
    <w:rsid w:val="00A06DF8"/>
    <w:rPr>
      <w:snapToGrid w:val="0"/>
      <w:u w:val="single"/>
      <w:lang w:val="en-US" w:eastAsia="en-US"/>
    </w:rPr>
  </w:style>
  <w:style w:type="character" w:customStyle="1" w:styleId="Heading8Char">
    <w:name w:val="Heading 8 Char"/>
    <w:basedOn w:val="DefaultParagraphFont"/>
    <w:link w:val="Heading8"/>
    <w:rsid w:val="00A06DF8"/>
    <w:rPr>
      <w:snapToGrid w:val="0"/>
      <w:u w:val="single"/>
      <w:lang w:val="en-US" w:eastAsia="en-US"/>
    </w:rPr>
  </w:style>
  <w:style w:type="character" w:customStyle="1" w:styleId="Heading9Char">
    <w:name w:val="Heading 9 Char"/>
    <w:basedOn w:val="DefaultParagraphFont"/>
    <w:link w:val="Heading9"/>
    <w:rsid w:val="00A06DF8"/>
    <w:rPr>
      <w:snapToGrid w:val="0"/>
      <w:u w:val="single"/>
      <w:lang w:val="en-US" w:eastAsia="en-US"/>
    </w:rPr>
  </w:style>
  <w:style w:type="character" w:customStyle="1" w:styleId="FooterChar">
    <w:name w:val="Footer Char"/>
    <w:basedOn w:val="DefaultParagraphFont"/>
    <w:link w:val="Footer"/>
    <w:rsid w:val="00A06DF8"/>
    <w:rPr>
      <w:sz w:val="18"/>
      <w:lang w:val="fr-FR" w:eastAsia="en-US"/>
    </w:rPr>
  </w:style>
  <w:style w:type="character" w:customStyle="1" w:styleId="HeaderChar">
    <w:name w:val="Header Char"/>
    <w:basedOn w:val="DefaultParagraphFont"/>
    <w:link w:val="Header"/>
    <w:rsid w:val="00A06DF8"/>
    <w:rPr>
      <w:b/>
      <w:sz w:val="18"/>
      <w:lang w:val="fr-FR" w:eastAsia="en-US"/>
    </w:rPr>
  </w:style>
  <w:style w:type="character" w:customStyle="1" w:styleId="BBTitleChar">
    <w:name w:val="BB_Title Char"/>
    <w:link w:val="BBTitle"/>
    <w:rsid w:val="00A06DF8"/>
    <w:rPr>
      <w:b/>
      <w:sz w:val="28"/>
      <w:szCs w:val="28"/>
      <w:lang w:val="fr-CA" w:eastAsia="en-US"/>
    </w:rPr>
  </w:style>
  <w:style w:type="paragraph" w:customStyle="1" w:styleId="Default">
    <w:name w:val="Default"/>
    <w:uiPriority w:val="99"/>
    <w:rsid w:val="00A06DF8"/>
    <w:pPr>
      <w:autoSpaceDE w:val="0"/>
      <w:autoSpaceDN w:val="0"/>
      <w:adjustRightInd w:val="0"/>
    </w:pPr>
    <w:rPr>
      <w:rFonts w:eastAsia="Calibri"/>
      <w:color w:val="000000"/>
      <w:sz w:val="24"/>
      <w:szCs w:val="24"/>
      <w:lang w:val="fr-CH" w:eastAsia="en-US"/>
    </w:rPr>
  </w:style>
  <w:style w:type="character" w:customStyle="1" w:styleId="hps">
    <w:name w:val="hps"/>
    <w:rsid w:val="00A06DF8"/>
    <w:rPr>
      <w:rFonts w:cs="Times New Roman"/>
    </w:rPr>
  </w:style>
  <w:style w:type="paragraph" w:styleId="NormalWeb">
    <w:name w:val="Normal (Web)"/>
    <w:basedOn w:val="Normal"/>
    <w:uiPriority w:val="99"/>
    <w:unhideWhenUsed/>
    <w:rsid w:val="00A06DF8"/>
    <w:pPr>
      <w:tabs>
        <w:tab w:val="clear" w:pos="1247"/>
        <w:tab w:val="clear" w:pos="1814"/>
        <w:tab w:val="clear" w:pos="2381"/>
        <w:tab w:val="clear" w:pos="2948"/>
        <w:tab w:val="clear" w:pos="3515"/>
      </w:tabs>
      <w:spacing w:before="100" w:beforeAutospacing="1" w:after="100" w:afterAutospacing="1"/>
    </w:pPr>
    <w:rPr>
      <w:sz w:val="24"/>
      <w:szCs w:val="24"/>
      <w:lang w:val="en-GB" w:eastAsia="zh-CN"/>
    </w:rPr>
  </w:style>
  <w:style w:type="character" w:customStyle="1" w:styleId="Hyperlink0">
    <w:name w:val="Hyperlink.0"/>
    <w:rsid w:val="00A06DF8"/>
    <w:rPr>
      <w:rFonts w:cs="Times New Roman"/>
      <w:lang w:val="en-US" w:eastAsia="x-none"/>
    </w:rPr>
  </w:style>
  <w:style w:type="numbering" w:customStyle="1" w:styleId="Importeradestilen14">
    <w:name w:val="Importerade stilen 14"/>
    <w:rsid w:val="00A06DF8"/>
    <w:pPr>
      <w:numPr>
        <w:numId w:val="21"/>
      </w:numPr>
    </w:pPr>
  </w:style>
  <w:style w:type="numbering" w:customStyle="1" w:styleId="Importeradestilen15">
    <w:name w:val="Importerade stilen 15"/>
    <w:rsid w:val="00A06DF8"/>
    <w:pPr>
      <w:numPr>
        <w:numId w:val="24"/>
      </w:numPr>
    </w:pPr>
  </w:style>
  <w:style w:type="numbering" w:customStyle="1" w:styleId="Importeradestilen12">
    <w:name w:val="Importerade stilen 12"/>
    <w:rsid w:val="00A06DF8"/>
    <w:pPr>
      <w:numPr>
        <w:numId w:val="19"/>
      </w:numPr>
    </w:pPr>
  </w:style>
  <w:style w:type="character" w:styleId="Strong">
    <w:name w:val="Strong"/>
    <w:uiPriority w:val="22"/>
    <w:qFormat/>
    <w:rsid w:val="007D528E"/>
    <w:rPr>
      <w:b/>
      <w:bCs/>
    </w:rPr>
  </w:style>
  <w:style w:type="character" w:customStyle="1" w:styleId="uficommentbody">
    <w:name w:val="uficommentbody"/>
    <w:rsid w:val="007D528E"/>
  </w:style>
  <w:style w:type="character" w:customStyle="1" w:styleId="NormalnumberChar">
    <w:name w:val="Normal_number Char"/>
    <w:link w:val="Normalnumber"/>
    <w:locked/>
    <w:rsid w:val="00677C61"/>
    <w:rPr>
      <w:lang w:val="fr-FR" w:eastAsia="en-US"/>
    </w:rPr>
  </w:style>
  <w:style w:type="numbering" w:customStyle="1" w:styleId="NoList1">
    <w:name w:val="No List1"/>
    <w:next w:val="NoList"/>
    <w:semiHidden/>
    <w:rsid w:val="00E81510"/>
  </w:style>
  <w:style w:type="table" w:customStyle="1" w:styleId="AATable1">
    <w:name w:val="AA_Table1"/>
    <w:basedOn w:val="TableNormal"/>
    <w:semiHidden/>
    <w:rsid w:val="00E81510"/>
    <w:rPr>
      <w:lang w:val="en-US" w:eastAsia="en-US"/>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numbering" w:customStyle="1" w:styleId="Normallist1">
    <w:name w:val="Normal_list1"/>
    <w:basedOn w:val="NoList"/>
    <w:semiHidden/>
    <w:rsid w:val="00E81510"/>
  </w:style>
  <w:style w:type="paragraph" w:styleId="BodyText">
    <w:name w:val="Body Text"/>
    <w:basedOn w:val="Normal"/>
    <w:link w:val="BodyTextChar"/>
    <w:rsid w:val="00A6475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A6475E"/>
    <w:rPr>
      <w:rFonts w:eastAsia="SimSun"/>
      <w:sz w:val="22"/>
      <w:szCs w:val="24"/>
      <w:lang w:val="en-US" w:eastAsia="en-US"/>
    </w:rPr>
  </w:style>
  <w:style w:type="paragraph" w:styleId="TOCHeading">
    <w:name w:val="TOC Heading"/>
    <w:basedOn w:val="Heading1"/>
    <w:next w:val="Normal"/>
    <w:uiPriority w:val="39"/>
    <w:unhideWhenUsed/>
    <w:qFormat/>
    <w:rsid w:val="00B27BE2"/>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3418">
      <w:bodyDiv w:val="1"/>
      <w:marLeft w:val="0"/>
      <w:marRight w:val="0"/>
      <w:marTop w:val="0"/>
      <w:marBottom w:val="0"/>
      <w:divBdr>
        <w:top w:val="none" w:sz="0" w:space="0" w:color="auto"/>
        <w:left w:val="none" w:sz="0" w:space="0" w:color="auto"/>
        <w:bottom w:val="none" w:sz="0" w:space="0" w:color="auto"/>
        <w:right w:val="none" w:sz="0" w:space="0" w:color="auto"/>
      </w:divBdr>
    </w:div>
    <w:div w:id="303657405">
      <w:bodyDiv w:val="1"/>
      <w:marLeft w:val="0"/>
      <w:marRight w:val="0"/>
      <w:marTop w:val="0"/>
      <w:marBottom w:val="0"/>
      <w:divBdr>
        <w:top w:val="none" w:sz="0" w:space="0" w:color="auto"/>
        <w:left w:val="none" w:sz="0" w:space="0" w:color="auto"/>
        <w:bottom w:val="none" w:sz="0" w:space="0" w:color="auto"/>
        <w:right w:val="none" w:sz="0" w:space="0" w:color="auto"/>
      </w:divBdr>
    </w:div>
    <w:div w:id="322317045">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45917365">
      <w:bodyDiv w:val="1"/>
      <w:marLeft w:val="0"/>
      <w:marRight w:val="0"/>
      <w:marTop w:val="0"/>
      <w:marBottom w:val="0"/>
      <w:divBdr>
        <w:top w:val="none" w:sz="0" w:space="0" w:color="auto"/>
        <w:left w:val="none" w:sz="0" w:space="0" w:color="auto"/>
        <w:bottom w:val="none" w:sz="0" w:space="0" w:color="auto"/>
        <w:right w:val="none" w:sz="0" w:space="0" w:color="auto"/>
      </w:divBdr>
    </w:div>
    <w:div w:id="750586826">
      <w:bodyDiv w:val="1"/>
      <w:marLeft w:val="0"/>
      <w:marRight w:val="0"/>
      <w:marTop w:val="0"/>
      <w:marBottom w:val="0"/>
      <w:divBdr>
        <w:top w:val="none" w:sz="0" w:space="0" w:color="auto"/>
        <w:left w:val="none" w:sz="0" w:space="0" w:color="auto"/>
        <w:bottom w:val="none" w:sz="0" w:space="0" w:color="auto"/>
        <w:right w:val="none" w:sz="0" w:space="0" w:color="auto"/>
      </w:divBdr>
    </w:div>
    <w:div w:id="918363720">
      <w:bodyDiv w:val="1"/>
      <w:marLeft w:val="0"/>
      <w:marRight w:val="0"/>
      <w:marTop w:val="0"/>
      <w:marBottom w:val="0"/>
      <w:divBdr>
        <w:top w:val="none" w:sz="0" w:space="0" w:color="auto"/>
        <w:left w:val="none" w:sz="0" w:space="0" w:color="auto"/>
        <w:bottom w:val="none" w:sz="0" w:space="0" w:color="auto"/>
        <w:right w:val="none" w:sz="0" w:space="0" w:color="auto"/>
      </w:divBdr>
      <w:divsChild>
        <w:div w:id="1078987041">
          <w:marLeft w:val="0"/>
          <w:marRight w:val="0"/>
          <w:marTop w:val="0"/>
          <w:marBottom w:val="0"/>
          <w:divBdr>
            <w:top w:val="none" w:sz="0" w:space="0" w:color="auto"/>
            <w:left w:val="none" w:sz="0" w:space="0" w:color="auto"/>
            <w:bottom w:val="none" w:sz="0" w:space="0" w:color="auto"/>
            <w:right w:val="none" w:sz="0" w:space="0" w:color="auto"/>
          </w:divBdr>
        </w:div>
        <w:div w:id="1089347858">
          <w:marLeft w:val="0"/>
          <w:marRight w:val="0"/>
          <w:marTop w:val="0"/>
          <w:marBottom w:val="0"/>
          <w:divBdr>
            <w:top w:val="none" w:sz="0" w:space="0" w:color="auto"/>
            <w:left w:val="none" w:sz="0" w:space="0" w:color="auto"/>
            <w:bottom w:val="none" w:sz="0" w:space="0" w:color="auto"/>
            <w:right w:val="none" w:sz="0" w:space="0" w:color="auto"/>
          </w:divBdr>
        </w:div>
      </w:divsChild>
    </w:div>
    <w:div w:id="932280951">
      <w:bodyDiv w:val="1"/>
      <w:marLeft w:val="0"/>
      <w:marRight w:val="0"/>
      <w:marTop w:val="0"/>
      <w:marBottom w:val="0"/>
      <w:divBdr>
        <w:top w:val="none" w:sz="0" w:space="0" w:color="auto"/>
        <w:left w:val="none" w:sz="0" w:space="0" w:color="auto"/>
        <w:bottom w:val="none" w:sz="0" w:space="0" w:color="auto"/>
        <w:right w:val="none" w:sz="0" w:space="0" w:color="auto"/>
      </w:divBdr>
    </w:div>
    <w:div w:id="1034429132">
      <w:bodyDiv w:val="1"/>
      <w:marLeft w:val="0"/>
      <w:marRight w:val="0"/>
      <w:marTop w:val="0"/>
      <w:marBottom w:val="0"/>
      <w:divBdr>
        <w:top w:val="none" w:sz="0" w:space="0" w:color="auto"/>
        <w:left w:val="none" w:sz="0" w:space="0" w:color="auto"/>
        <w:bottom w:val="none" w:sz="0" w:space="0" w:color="auto"/>
        <w:right w:val="none" w:sz="0" w:space="0" w:color="auto"/>
      </w:divBdr>
    </w:div>
    <w:div w:id="1179194494">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67540681">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98476495">
      <w:bodyDiv w:val="1"/>
      <w:marLeft w:val="0"/>
      <w:marRight w:val="0"/>
      <w:marTop w:val="0"/>
      <w:marBottom w:val="0"/>
      <w:divBdr>
        <w:top w:val="none" w:sz="0" w:space="0" w:color="auto"/>
        <w:left w:val="none" w:sz="0" w:space="0" w:color="auto"/>
        <w:bottom w:val="none" w:sz="0" w:space="0" w:color="auto"/>
        <w:right w:val="none" w:sz="0" w:space="0" w:color="auto"/>
      </w:divBdr>
    </w:div>
    <w:div w:id="1464152639">
      <w:bodyDiv w:val="1"/>
      <w:marLeft w:val="0"/>
      <w:marRight w:val="0"/>
      <w:marTop w:val="0"/>
      <w:marBottom w:val="0"/>
      <w:divBdr>
        <w:top w:val="none" w:sz="0" w:space="0" w:color="auto"/>
        <w:left w:val="none" w:sz="0" w:space="0" w:color="auto"/>
        <w:bottom w:val="none" w:sz="0" w:space="0" w:color="auto"/>
        <w:right w:val="none" w:sz="0" w:space="0" w:color="auto"/>
      </w:divBdr>
    </w:div>
    <w:div w:id="1697152681">
      <w:bodyDiv w:val="1"/>
      <w:marLeft w:val="0"/>
      <w:marRight w:val="0"/>
      <w:marTop w:val="0"/>
      <w:marBottom w:val="0"/>
      <w:divBdr>
        <w:top w:val="none" w:sz="0" w:space="0" w:color="auto"/>
        <w:left w:val="none" w:sz="0" w:space="0" w:color="auto"/>
        <w:bottom w:val="none" w:sz="0" w:space="0" w:color="auto"/>
        <w:right w:val="none" w:sz="0" w:space="0" w:color="auto"/>
      </w:divBdr>
    </w:div>
    <w:div w:id="1883592303">
      <w:bodyDiv w:val="1"/>
      <w:marLeft w:val="0"/>
      <w:marRight w:val="0"/>
      <w:marTop w:val="0"/>
      <w:marBottom w:val="0"/>
      <w:divBdr>
        <w:top w:val="none" w:sz="0" w:space="0" w:color="auto"/>
        <w:left w:val="none" w:sz="0" w:space="0" w:color="auto"/>
        <w:bottom w:val="none" w:sz="0" w:space="0" w:color="auto"/>
        <w:right w:val="none" w:sz="0" w:space="0" w:color="auto"/>
      </w:divBdr>
    </w:div>
    <w:div w:id="211578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B5916-0AD7-47AD-80B5-6A826330C542}">
  <ds:schemaRefs>
    <ds:schemaRef ds:uri="http://schemas.microsoft.com/sharepoint/v3/contenttype/forms"/>
  </ds:schemaRefs>
</ds:datastoreItem>
</file>

<file path=customXml/itemProps2.xml><?xml version="1.0" encoding="utf-8"?>
<ds:datastoreItem xmlns:ds="http://schemas.openxmlformats.org/officeDocument/2006/customXml" ds:itemID="{B10A6080-9BB2-43D1-9D71-248B086CD7F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0F1DD2-0274-4564-B3E0-A81F9B46A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E69B4F9-C67D-4CBA-8C2E-6786C660E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1520</Words>
  <Characters>8666</Characters>
  <Application>Microsoft Office Word</Application>
  <DocSecurity>0</DocSecurity>
  <Lines>72</Lines>
  <Paragraphs>20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10166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Alexandru SOFRONI</cp:lastModifiedBy>
  <cp:revision>5</cp:revision>
  <cp:lastPrinted>2020-11-09T12:08:00Z</cp:lastPrinted>
  <dcterms:created xsi:type="dcterms:W3CDTF">2020-11-06T11:28:00Z</dcterms:created>
  <dcterms:modified xsi:type="dcterms:W3CDTF">2020-11-09T12:08:00Z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