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4B2EFDA"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w:t>
            </w:r>
            <w:r w:rsidR="004D2252">
              <w:t>5</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13F3EA4F" w14:textId="77777777" w:rsidR="004D2252" w:rsidRPr="003E6972" w:rsidRDefault="00CB2628" w:rsidP="004D2252">
      <w:pPr>
        <w:pStyle w:val="CH2"/>
      </w:pPr>
      <w:r w:rsidRPr="00A7082A">
        <w:rPr>
          <w:bCs/>
        </w:rPr>
        <w:tab/>
      </w:r>
      <w:r w:rsidRPr="00A7082A">
        <w:rPr>
          <w:bCs/>
        </w:rPr>
        <w:tab/>
      </w:r>
      <w:r w:rsidR="004D2252" w:rsidRPr="003E6972">
        <w:t>MC-1/5: Guidance to the Global Environment Facility</w:t>
      </w:r>
    </w:p>
    <w:p w14:paraId="0F708596" w14:textId="77777777" w:rsidR="004D2252" w:rsidRPr="003E6972" w:rsidRDefault="004D2252" w:rsidP="004D2252">
      <w:pPr>
        <w:pStyle w:val="NormalNonumber"/>
        <w:tabs>
          <w:tab w:val="left" w:pos="624"/>
        </w:tabs>
        <w:ind w:firstLine="624"/>
        <w:rPr>
          <w:i/>
          <w:iCs/>
        </w:rPr>
      </w:pPr>
      <w:r w:rsidRPr="003E6972">
        <w:rPr>
          <w:i/>
          <w:iCs/>
        </w:rPr>
        <w:t>The Conference of the Parties</w:t>
      </w:r>
    </w:p>
    <w:p w14:paraId="6AC17766" w14:textId="77777777" w:rsidR="004D2252" w:rsidRPr="003E6972" w:rsidRDefault="004D2252" w:rsidP="009F0ECA">
      <w:pPr>
        <w:pStyle w:val="Normalnumber"/>
        <w:numPr>
          <w:ilvl w:val="0"/>
          <w:numId w:val="13"/>
        </w:numPr>
        <w:tabs>
          <w:tab w:val="clear" w:pos="1247"/>
        </w:tabs>
        <w:suppressAutoHyphens/>
        <w:autoSpaceDN w:val="0"/>
        <w:ind w:left="1247" w:firstLine="624"/>
        <w:textAlignment w:val="baseline"/>
      </w:pPr>
      <w:r w:rsidRPr="003E6972">
        <w:rPr>
          <w:i/>
          <w:iCs/>
        </w:rPr>
        <w:t>Adopts</w:t>
      </w:r>
      <w:r w:rsidRPr="003E6972">
        <w:t xml:space="preserve"> the guidance to the Global Environment Facility on the overall strategies, policies, programme priorities and eligibility for access to and utilization of financial resources and on an indicative list of categories of activities that could receive support from the Global Environment Facility Trust Fund, as set out in the annex to the present decision;</w:t>
      </w:r>
    </w:p>
    <w:p w14:paraId="1B0E6ED5" w14:textId="77777777" w:rsidR="004D2252" w:rsidRPr="003E6972" w:rsidRDefault="004D2252" w:rsidP="009F0ECA">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pPr>
      <w:r w:rsidRPr="003E6972">
        <w:rPr>
          <w:i/>
          <w:iCs/>
        </w:rPr>
        <w:t>Requests</w:t>
      </w:r>
      <w:r w:rsidRPr="003E6972">
        <w:t xml:space="preserve"> the secretariat to transmit the guidance to the Council of the Global Environment Facility.</w:t>
      </w:r>
    </w:p>
    <w:p w14:paraId="13BE8EA3" w14:textId="77777777" w:rsidR="004D2252" w:rsidRPr="003E6972" w:rsidRDefault="004D2252" w:rsidP="004D2252">
      <w:pPr>
        <w:pStyle w:val="CH2"/>
      </w:pPr>
      <w:r w:rsidRPr="003E6972">
        <w:tab/>
      </w:r>
      <w:r w:rsidRPr="003E6972">
        <w:tab/>
        <w:t xml:space="preserve">Annex to decision MC-1/5 </w:t>
      </w:r>
    </w:p>
    <w:p w14:paraId="1072D1F8" w14:textId="77777777" w:rsidR="004D2252" w:rsidRPr="003E6972" w:rsidRDefault="004D2252" w:rsidP="004D2252">
      <w:pPr>
        <w:pStyle w:val="CH2"/>
      </w:pPr>
      <w:r w:rsidRPr="003E6972">
        <w:tab/>
      </w:r>
      <w:r w:rsidRPr="003E6972">
        <w:tab/>
        <w:t>Guidance to the Global Environment Facility on overall strategies, policies, programme priorities and eligibility for access to and utilization of financial resources and on an indicative list of categories of activities that could receive support from the Global Environment Facility Trust Fund</w:t>
      </w:r>
    </w:p>
    <w:p w14:paraId="1FEDC6E6"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color w:val="auto"/>
          <w:sz w:val="20"/>
          <w:szCs w:val="20"/>
        </w:rPr>
      </w:pPr>
      <w:r w:rsidRPr="003E6972">
        <w:rPr>
          <w:rStyle w:val="Inget"/>
          <w:sz w:val="20"/>
          <w:szCs w:val="20"/>
        </w:rPr>
        <w:t>Pursuant to</w:t>
      </w:r>
      <w:r w:rsidRPr="003E6972">
        <w:rPr>
          <w:rStyle w:val="Inget"/>
          <w:color w:val="auto"/>
          <w:sz w:val="20"/>
          <w:szCs w:val="20"/>
        </w:rPr>
        <w:t xml:space="preserve"> article </w:t>
      </w:r>
      <w:r w:rsidRPr="003E6972">
        <w:rPr>
          <w:rStyle w:val="Inget"/>
          <w:sz w:val="20"/>
          <w:szCs w:val="20"/>
        </w:rPr>
        <w:t>13 of the</w:t>
      </w:r>
      <w:r w:rsidRPr="003E6972">
        <w:rPr>
          <w:rStyle w:val="Inget"/>
          <w:color w:val="auto"/>
          <w:sz w:val="20"/>
          <w:szCs w:val="20"/>
        </w:rPr>
        <w:t xml:space="preserve"> Minamata Convention on Mercury, </w:t>
      </w:r>
      <w:r w:rsidRPr="003E6972">
        <w:rPr>
          <w:rStyle w:val="Inget"/>
          <w:sz w:val="20"/>
          <w:szCs w:val="20"/>
        </w:rPr>
        <w:t>the present guidance is intended to assist the</w:t>
      </w:r>
      <w:r w:rsidRPr="003E6972">
        <w:rPr>
          <w:rStyle w:val="Inget"/>
          <w:color w:val="auto"/>
          <w:sz w:val="20"/>
          <w:szCs w:val="20"/>
        </w:rPr>
        <w:t xml:space="preserve"> Global Environment Facility (GEF) </w:t>
      </w:r>
      <w:r w:rsidRPr="003E6972">
        <w:rPr>
          <w:rStyle w:val="Inget"/>
          <w:sz w:val="20"/>
          <w:szCs w:val="20"/>
        </w:rPr>
        <w:t>in</w:t>
      </w:r>
      <w:r w:rsidRPr="003E6972">
        <w:rPr>
          <w:rStyle w:val="Inget"/>
          <w:color w:val="auto"/>
          <w:sz w:val="20"/>
          <w:szCs w:val="20"/>
        </w:rPr>
        <w:t xml:space="preserve"> fulfilling </w:t>
      </w:r>
      <w:r w:rsidRPr="003E6972">
        <w:rPr>
          <w:rStyle w:val="Inget"/>
          <w:sz w:val="20"/>
          <w:szCs w:val="20"/>
        </w:rPr>
        <w:t>its role as one of the entities entrusted with the operation of the financial mechanism of the</w:t>
      </w:r>
      <w:r w:rsidRPr="003E6972">
        <w:rPr>
          <w:rStyle w:val="Inget"/>
          <w:color w:val="auto"/>
          <w:sz w:val="20"/>
          <w:szCs w:val="20"/>
        </w:rPr>
        <w:t xml:space="preserve"> Minamata Convention.</w:t>
      </w:r>
    </w:p>
    <w:p w14:paraId="7FF43B0B" w14:textId="77777777" w:rsidR="004D2252" w:rsidRPr="003E6972" w:rsidRDefault="004D2252" w:rsidP="004D2252">
      <w:pPr>
        <w:pStyle w:val="CH1"/>
        <w:rPr>
          <w:rStyle w:val="Inget"/>
          <w:b w:val="0"/>
          <w:bCs/>
        </w:rPr>
      </w:pPr>
      <w:r w:rsidRPr="003E6972">
        <w:rPr>
          <w:rFonts w:cs="Arial Unicode MS"/>
        </w:rPr>
        <w:tab/>
        <w:t>I.</w:t>
      </w:r>
      <w:r w:rsidRPr="003E6972">
        <w:rPr>
          <w:rFonts w:cs="Arial Unicode MS"/>
        </w:rPr>
        <w:tab/>
        <w:t>Eligibility for access to and utilization of financial resources</w:t>
      </w:r>
    </w:p>
    <w:p w14:paraId="578A1EDD"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sz w:val="20"/>
          <w:szCs w:val="20"/>
        </w:rPr>
      </w:pPr>
      <w:r w:rsidRPr="003E6972">
        <w:rPr>
          <w:rStyle w:val="Inget"/>
          <w:sz w:val="20"/>
          <w:szCs w:val="20"/>
        </w:rPr>
        <w:t>To be eligible for funding from</w:t>
      </w:r>
      <w:r w:rsidRPr="003E6972">
        <w:rPr>
          <w:rStyle w:val="Inget"/>
          <w:color w:val="auto"/>
          <w:sz w:val="20"/>
          <w:szCs w:val="20"/>
        </w:rPr>
        <w:t xml:space="preserve"> GEF </w:t>
      </w:r>
      <w:r w:rsidRPr="003E6972">
        <w:rPr>
          <w:rStyle w:val="Inget"/>
          <w:sz w:val="20"/>
          <w:szCs w:val="20"/>
        </w:rPr>
        <w:t>as one of the entities comprising the financial mechanism of the</w:t>
      </w:r>
      <w:r w:rsidRPr="003E6972">
        <w:rPr>
          <w:rStyle w:val="Inget"/>
          <w:color w:val="auto"/>
          <w:sz w:val="20"/>
          <w:szCs w:val="20"/>
        </w:rPr>
        <w:t xml:space="preserve"> Minamata Convention on Mercury, </w:t>
      </w:r>
      <w:r w:rsidRPr="003E6972">
        <w:rPr>
          <w:rStyle w:val="Inget"/>
          <w:sz w:val="20"/>
          <w:szCs w:val="20"/>
        </w:rPr>
        <w:t>a country must be a</w:t>
      </w:r>
      <w:r w:rsidRPr="003E6972">
        <w:rPr>
          <w:rStyle w:val="Inget"/>
          <w:color w:val="auto"/>
          <w:sz w:val="20"/>
          <w:szCs w:val="20"/>
        </w:rPr>
        <w:t xml:space="preserve"> P</w:t>
      </w:r>
      <w:r w:rsidRPr="003E6972">
        <w:rPr>
          <w:rStyle w:val="Inget"/>
          <w:sz w:val="20"/>
          <w:szCs w:val="20"/>
        </w:rPr>
        <w:t>arty to the</w:t>
      </w:r>
      <w:r w:rsidRPr="003E6972">
        <w:rPr>
          <w:rStyle w:val="Inget"/>
          <w:color w:val="auto"/>
          <w:sz w:val="20"/>
          <w:szCs w:val="20"/>
        </w:rPr>
        <w:t xml:space="preserve"> Convention </w:t>
      </w:r>
      <w:r w:rsidRPr="003E6972">
        <w:rPr>
          <w:rStyle w:val="Inget"/>
          <w:sz w:val="20"/>
          <w:szCs w:val="20"/>
        </w:rPr>
        <w:t>and must be a</w:t>
      </w:r>
      <w:r w:rsidRPr="003E6972">
        <w:rPr>
          <w:rStyle w:val="Inget"/>
          <w:color w:val="auto"/>
          <w:sz w:val="20"/>
          <w:szCs w:val="20"/>
        </w:rPr>
        <w:t xml:space="preserve"> developing </w:t>
      </w:r>
      <w:r w:rsidRPr="003E6972">
        <w:rPr>
          <w:rStyle w:val="Inget"/>
          <w:sz w:val="20"/>
          <w:szCs w:val="20"/>
        </w:rPr>
        <w:t>country or a country with an economy in transition.</w:t>
      </w:r>
    </w:p>
    <w:p w14:paraId="68CEE684"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color w:val="auto"/>
          <w:sz w:val="20"/>
          <w:szCs w:val="20"/>
        </w:rPr>
      </w:pPr>
      <w:r w:rsidRPr="003E6972">
        <w:rPr>
          <w:rStyle w:val="Inget"/>
          <w:sz w:val="20"/>
          <w:szCs w:val="20"/>
        </w:rPr>
        <w:t>Activities that are eligible for funding from the</w:t>
      </w:r>
      <w:r w:rsidRPr="003E6972">
        <w:rPr>
          <w:rStyle w:val="Inget"/>
          <w:color w:val="auto"/>
          <w:sz w:val="20"/>
          <w:szCs w:val="20"/>
        </w:rPr>
        <w:t xml:space="preserve"> GEF </w:t>
      </w:r>
      <w:r w:rsidRPr="003E6972">
        <w:rPr>
          <w:rStyle w:val="Inget"/>
          <w:sz w:val="20"/>
          <w:szCs w:val="20"/>
        </w:rPr>
        <w:t>Trust Fund are those that seek to meet the objectives of the</w:t>
      </w:r>
      <w:r w:rsidRPr="003E6972">
        <w:rPr>
          <w:rStyle w:val="Inget"/>
          <w:color w:val="auto"/>
          <w:sz w:val="20"/>
          <w:szCs w:val="20"/>
        </w:rPr>
        <w:t xml:space="preserve"> Convention </w:t>
      </w:r>
      <w:r w:rsidRPr="003E6972">
        <w:rPr>
          <w:rStyle w:val="Inget"/>
          <w:sz w:val="20"/>
          <w:szCs w:val="20"/>
        </w:rPr>
        <w:t>and are consistent with the present guidance</w:t>
      </w:r>
      <w:r w:rsidRPr="003E6972">
        <w:rPr>
          <w:rStyle w:val="Inget"/>
          <w:color w:val="auto"/>
          <w:sz w:val="20"/>
          <w:szCs w:val="20"/>
        </w:rPr>
        <w:t>.</w:t>
      </w:r>
    </w:p>
    <w:p w14:paraId="646E34CF"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color w:val="auto"/>
          <w:sz w:val="20"/>
          <w:szCs w:val="20"/>
        </w:rPr>
      </w:pPr>
      <w:r w:rsidRPr="003E6972">
        <w:rPr>
          <w:rStyle w:val="Inget"/>
          <w:color w:val="auto"/>
          <w:sz w:val="20"/>
          <w:szCs w:val="20"/>
        </w:rPr>
        <w:t>S</w:t>
      </w:r>
      <w:r w:rsidRPr="003E6972">
        <w:rPr>
          <w:rStyle w:val="Inget"/>
          <w:sz w:val="20"/>
          <w:szCs w:val="20"/>
        </w:rPr>
        <w:t>ignatories to the</w:t>
      </w:r>
      <w:r w:rsidRPr="003E6972">
        <w:rPr>
          <w:rStyle w:val="Inget"/>
          <w:color w:val="auto"/>
          <w:sz w:val="20"/>
          <w:szCs w:val="20"/>
        </w:rPr>
        <w:t xml:space="preserve"> Convention </w:t>
      </w:r>
      <w:r w:rsidRPr="003E6972">
        <w:rPr>
          <w:rStyle w:val="Inget"/>
          <w:sz w:val="20"/>
          <w:szCs w:val="20"/>
        </w:rPr>
        <w:t>are eligible for funding from</w:t>
      </w:r>
      <w:r w:rsidRPr="003E6972">
        <w:rPr>
          <w:rStyle w:val="Inget"/>
          <w:color w:val="auto"/>
          <w:sz w:val="20"/>
          <w:szCs w:val="20"/>
        </w:rPr>
        <w:t xml:space="preserve"> GEF </w:t>
      </w:r>
      <w:r w:rsidRPr="003E6972">
        <w:rPr>
          <w:rStyle w:val="Inget"/>
          <w:sz w:val="20"/>
          <w:szCs w:val="20"/>
        </w:rPr>
        <w:t>for enabling activities, provided that any such signatory is taking meaningful steps</w:t>
      </w:r>
      <w:r w:rsidRPr="003E6972">
        <w:rPr>
          <w:rStyle w:val="Inget"/>
          <w:color w:val="auto"/>
          <w:sz w:val="20"/>
          <w:szCs w:val="20"/>
        </w:rPr>
        <w:t xml:space="preserve"> towards </w:t>
      </w:r>
      <w:r w:rsidRPr="003E6972">
        <w:rPr>
          <w:rStyle w:val="Inget"/>
          <w:sz w:val="20"/>
          <w:szCs w:val="20"/>
        </w:rPr>
        <w:t>becoming a</w:t>
      </w:r>
      <w:r w:rsidRPr="003E6972">
        <w:rPr>
          <w:rStyle w:val="Inget"/>
          <w:color w:val="auto"/>
          <w:sz w:val="20"/>
          <w:szCs w:val="20"/>
        </w:rPr>
        <w:t xml:space="preserve"> P</w:t>
      </w:r>
      <w:r w:rsidRPr="003E6972">
        <w:rPr>
          <w:rStyle w:val="Inget"/>
          <w:sz w:val="20"/>
          <w:szCs w:val="20"/>
        </w:rPr>
        <w:t>arty as evidenced by a letter from the relevant minister to the</w:t>
      </w:r>
      <w:r w:rsidRPr="003E6972">
        <w:rPr>
          <w:rStyle w:val="Inget"/>
          <w:color w:val="auto"/>
          <w:sz w:val="20"/>
          <w:szCs w:val="20"/>
        </w:rPr>
        <w:t xml:space="preserve"> Executive Director </w:t>
      </w:r>
      <w:r w:rsidRPr="003E6972">
        <w:rPr>
          <w:rStyle w:val="Inget"/>
          <w:sz w:val="20"/>
          <w:szCs w:val="20"/>
        </w:rPr>
        <w:t>of</w:t>
      </w:r>
      <w:r w:rsidRPr="003E6972">
        <w:rPr>
          <w:rStyle w:val="Inget"/>
          <w:color w:val="auto"/>
          <w:sz w:val="20"/>
          <w:szCs w:val="20"/>
        </w:rPr>
        <w:t xml:space="preserve"> the United Nations Environment Programme </w:t>
      </w:r>
      <w:r w:rsidRPr="003E6972">
        <w:rPr>
          <w:rStyle w:val="Inget"/>
          <w:sz w:val="20"/>
          <w:szCs w:val="20"/>
        </w:rPr>
        <w:t>and to the</w:t>
      </w:r>
      <w:r w:rsidRPr="003E6972">
        <w:rPr>
          <w:rStyle w:val="Inget"/>
          <w:color w:val="auto"/>
          <w:sz w:val="20"/>
          <w:szCs w:val="20"/>
        </w:rPr>
        <w:t xml:space="preserve"> C</w:t>
      </w:r>
      <w:r w:rsidRPr="003E6972">
        <w:rPr>
          <w:rStyle w:val="Inget"/>
          <w:sz w:val="20"/>
          <w:szCs w:val="20"/>
        </w:rPr>
        <w:t>hief</w:t>
      </w:r>
      <w:r w:rsidRPr="003E6972">
        <w:rPr>
          <w:rStyle w:val="Inget"/>
          <w:color w:val="auto"/>
          <w:sz w:val="20"/>
          <w:szCs w:val="20"/>
        </w:rPr>
        <w:t xml:space="preserve"> E</w:t>
      </w:r>
      <w:r w:rsidRPr="003E6972">
        <w:rPr>
          <w:rStyle w:val="Inget"/>
          <w:sz w:val="20"/>
          <w:szCs w:val="20"/>
        </w:rPr>
        <w:t>xecutive</w:t>
      </w:r>
      <w:r w:rsidRPr="003E6972">
        <w:rPr>
          <w:rStyle w:val="Inget"/>
          <w:color w:val="auto"/>
          <w:sz w:val="20"/>
          <w:szCs w:val="20"/>
        </w:rPr>
        <w:t xml:space="preserve"> O</w:t>
      </w:r>
      <w:r w:rsidRPr="003E6972">
        <w:rPr>
          <w:rStyle w:val="Inget"/>
          <w:sz w:val="20"/>
          <w:szCs w:val="20"/>
        </w:rPr>
        <w:t>fficer and</w:t>
      </w:r>
      <w:r w:rsidRPr="003E6972">
        <w:rPr>
          <w:rStyle w:val="Inget"/>
          <w:color w:val="auto"/>
          <w:sz w:val="20"/>
          <w:szCs w:val="20"/>
        </w:rPr>
        <w:t xml:space="preserve"> C</w:t>
      </w:r>
      <w:r w:rsidRPr="003E6972">
        <w:rPr>
          <w:rStyle w:val="Inget"/>
          <w:sz w:val="20"/>
          <w:szCs w:val="20"/>
        </w:rPr>
        <w:t>hairperson of the</w:t>
      </w:r>
      <w:r w:rsidRPr="003E6972">
        <w:rPr>
          <w:rStyle w:val="Inget"/>
          <w:color w:val="auto"/>
          <w:sz w:val="20"/>
          <w:szCs w:val="20"/>
        </w:rPr>
        <w:t xml:space="preserve"> Global Environment Facility.</w:t>
      </w:r>
    </w:p>
    <w:p w14:paraId="72ECE7C0" w14:textId="77777777" w:rsidR="004D2252" w:rsidRPr="003E6972" w:rsidRDefault="004D2252" w:rsidP="004D2252">
      <w:pPr>
        <w:pStyle w:val="CH1"/>
        <w:rPr>
          <w:rStyle w:val="Inget"/>
          <w:b w:val="0"/>
          <w:bCs/>
        </w:rPr>
      </w:pPr>
      <w:r w:rsidRPr="003E6972">
        <w:rPr>
          <w:rStyle w:val="Inget"/>
        </w:rPr>
        <w:lastRenderedPageBreak/>
        <w:tab/>
      </w:r>
      <w:r w:rsidRPr="003E6972">
        <w:rPr>
          <w:rFonts w:cs="Arial Unicode MS"/>
        </w:rPr>
        <w:t>II.</w:t>
      </w:r>
      <w:r w:rsidRPr="003E6972">
        <w:rPr>
          <w:rFonts w:cs="Arial Unicode MS"/>
        </w:rPr>
        <w:tab/>
        <w:t>Overall strategies and policies</w:t>
      </w:r>
    </w:p>
    <w:p w14:paraId="0583A8F0"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sz w:val="20"/>
          <w:szCs w:val="20"/>
        </w:rPr>
      </w:pPr>
      <w:r w:rsidRPr="003E6972">
        <w:rPr>
          <w:rStyle w:val="Inget"/>
          <w:sz w:val="20"/>
          <w:szCs w:val="20"/>
        </w:rPr>
        <w:t>In accordance with</w:t>
      </w:r>
      <w:r w:rsidRPr="003E6972">
        <w:rPr>
          <w:rStyle w:val="Inget"/>
          <w:color w:val="auto"/>
          <w:sz w:val="20"/>
          <w:szCs w:val="20"/>
        </w:rPr>
        <w:t xml:space="preserve"> a</w:t>
      </w:r>
      <w:r w:rsidRPr="003E6972">
        <w:rPr>
          <w:rStyle w:val="Inget"/>
          <w:sz w:val="20"/>
          <w:szCs w:val="20"/>
        </w:rPr>
        <w:t>rticle 13</w:t>
      </w:r>
      <w:r w:rsidRPr="003E6972">
        <w:rPr>
          <w:rStyle w:val="Inget"/>
          <w:color w:val="auto"/>
          <w:sz w:val="20"/>
          <w:szCs w:val="20"/>
        </w:rPr>
        <w:t xml:space="preserve">, paragraph 7, </w:t>
      </w:r>
      <w:r w:rsidRPr="003E6972">
        <w:rPr>
          <w:rStyle w:val="Inget"/>
          <w:sz w:val="20"/>
          <w:szCs w:val="20"/>
        </w:rPr>
        <w:t>of the</w:t>
      </w:r>
      <w:r w:rsidRPr="003E6972">
        <w:rPr>
          <w:rStyle w:val="Inget"/>
          <w:color w:val="auto"/>
          <w:sz w:val="20"/>
          <w:szCs w:val="20"/>
        </w:rPr>
        <w:t xml:space="preserve"> Convention, </w:t>
      </w:r>
      <w:r w:rsidRPr="003E6972">
        <w:rPr>
          <w:rStyle w:val="Inget"/>
          <w:sz w:val="20"/>
          <w:szCs w:val="20"/>
        </w:rPr>
        <w:t>the</w:t>
      </w:r>
      <w:r w:rsidRPr="003E6972">
        <w:rPr>
          <w:rStyle w:val="Inget"/>
          <w:color w:val="auto"/>
          <w:sz w:val="20"/>
          <w:szCs w:val="20"/>
        </w:rPr>
        <w:t xml:space="preserve"> GEF </w:t>
      </w:r>
      <w:r w:rsidRPr="003E6972">
        <w:rPr>
          <w:rStyle w:val="Inget"/>
          <w:sz w:val="20"/>
          <w:szCs w:val="20"/>
        </w:rPr>
        <w:t>Trust Fund shall provide new, predictable</w:t>
      </w:r>
      <w:r w:rsidRPr="003E6972">
        <w:rPr>
          <w:rStyle w:val="Inget"/>
          <w:color w:val="auto"/>
          <w:sz w:val="20"/>
          <w:szCs w:val="20"/>
        </w:rPr>
        <w:t xml:space="preserve">, adequate </w:t>
      </w:r>
      <w:r w:rsidRPr="003E6972">
        <w:rPr>
          <w:rStyle w:val="Inget"/>
          <w:sz w:val="20"/>
          <w:szCs w:val="20"/>
        </w:rPr>
        <w:t>and timely financial resources to meet costs in support of implementation of the</w:t>
      </w:r>
      <w:r w:rsidRPr="003E6972">
        <w:rPr>
          <w:rStyle w:val="Inget"/>
          <w:color w:val="auto"/>
          <w:sz w:val="20"/>
          <w:szCs w:val="20"/>
        </w:rPr>
        <w:t xml:space="preserve"> Convention </w:t>
      </w:r>
      <w:r w:rsidRPr="003E6972">
        <w:rPr>
          <w:rStyle w:val="Inget"/>
          <w:sz w:val="20"/>
          <w:szCs w:val="20"/>
        </w:rPr>
        <w:t>as agreed by the</w:t>
      </w:r>
      <w:r w:rsidRPr="003E6972">
        <w:rPr>
          <w:rStyle w:val="Inget"/>
          <w:color w:val="auto"/>
          <w:sz w:val="20"/>
          <w:szCs w:val="20"/>
        </w:rPr>
        <w:t xml:space="preserve"> Conference of the Parties, including </w:t>
      </w:r>
      <w:r w:rsidRPr="003E6972">
        <w:rPr>
          <w:rStyle w:val="Inget"/>
          <w:sz w:val="20"/>
          <w:szCs w:val="20"/>
        </w:rPr>
        <w:t>costs arising from activities that:</w:t>
      </w:r>
    </w:p>
    <w:p w14:paraId="26F4C027"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Are country-driven;</w:t>
      </w:r>
    </w:p>
    <w:p w14:paraId="167C5E27"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3E6972">
        <w:rPr>
          <w:rStyle w:val="Inget"/>
          <w:sz w:val="20"/>
          <w:szCs w:val="20"/>
        </w:rPr>
        <w:t>Are in conformity with</w:t>
      </w:r>
      <w:r w:rsidRPr="003E6972">
        <w:rPr>
          <w:rStyle w:val="Inget"/>
          <w:color w:val="auto"/>
          <w:sz w:val="20"/>
          <w:szCs w:val="20"/>
        </w:rPr>
        <w:t xml:space="preserve"> programme </w:t>
      </w:r>
      <w:r w:rsidRPr="003E6972">
        <w:rPr>
          <w:rStyle w:val="Inget"/>
          <w:sz w:val="20"/>
          <w:szCs w:val="20"/>
        </w:rPr>
        <w:t>priorities as reflected in relevant guidance provided by the</w:t>
      </w:r>
      <w:r w:rsidRPr="003E6972">
        <w:rPr>
          <w:rStyle w:val="Inget"/>
          <w:color w:val="auto"/>
          <w:sz w:val="20"/>
          <w:szCs w:val="20"/>
        </w:rPr>
        <w:t xml:space="preserve"> Conference of the Parties;</w:t>
      </w:r>
    </w:p>
    <w:p w14:paraId="3C34CAAC"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Build capacity and promote the utilization of local and</w:t>
      </w:r>
      <w:r w:rsidRPr="003E6972">
        <w:rPr>
          <w:rStyle w:val="Inget"/>
          <w:color w:val="auto"/>
          <w:sz w:val="20"/>
          <w:szCs w:val="20"/>
        </w:rPr>
        <w:t xml:space="preserve"> regional expertise, </w:t>
      </w:r>
      <w:r w:rsidRPr="003E6972">
        <w:rPr>
          <w:rStyle w:val="Inget"/>
          <w:sz w:val="20"/>
          <w:szCs w:val="20"/>
        </w:rPr>
        <w:t>if applicable;</w:t>
      </w:r>
    </w:p>
    <w:p w14:paraId="504FED6B"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Promote synergies with other focal areas;</w:t>
      </w:r>
    </w:p>
    <w:p w14:paraId="2553FFE8"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Continue to enhance synergies and co-benefits within the chemicals and waste focal area;</w:t>
      </w:r>
    </w:p>
    <w:p w14:paraId="228D3F8D"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Promote multiple-source funding approaches, mechanisms and arrangements</w:t>
      </w:r>
      <w:r w:rsidRPr="003E6972">
        <w:rPr>
          <w:rStyle w:val="Inget"/>
          <w:color w:val="auto"/>
          <w:sz w:val="20"/>
          <w:szCs w:val="20"/>
        </w:rPr>
        <w:t xml:space="preserve">, including </w:t>
      </w:r>
      <w:r w:rsidRPr="003E6972">
        <w:rPr>
          <w:rStyle w:val="Inget"/>
          <w:sz w:val="20"/>
          <w:szCs w:val="20"/>
        </w:rPr>
        <w:t>from the</w:t>
      </w:r>
      <w:r w:rsidRPr="003E6972">
        <w:rPr>
          <w:rStyle w:val="Inget"/>
          <w:color w:val="auto"/>
          <w:sz w:val="20"/>
          <w:szCs w:val="20"/>
        </w:rPr>
        <w:t xml:space="preserve"> private sector, </w:t>
      </w:r>
      <w:r w:rsidRPr="003E6972">
        <w:rPr>
          <w:rStyle w:val="Inget"/>
          <w:sz w:val="20"/>
          <w:szCs w:val="20"/>
        </w:rPr>
        <w:t xml:space="preserve">if applicable; </w:t>
      </w:r>
    </w:p>
    <w:p w14:paraId="1FCBB6A7"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Promote sustainable national</w:t>
      </w:r>
      <w:r w:rsidRPr="003E6972">
        <w:rPr>
          <w:rStyle w:val="Inget"/>
          <w:color w:val="auto"/>
          <w:sz w:val="20"/>
          <w:szCs w:val="20"/>
        </w:rPr>
        <w:t xml:space="preserve"> socioeconomic development, </w:t>
      </w:r>
      <w:r w:rsidRPr="003E6972">
        <w:rPr>
          <w:rStyle w:val="Inget"/>
          <w:sz w:val="20"/>
          <w:szCs w:val="20"/>
        </w:rPr>
        <w:t>poverty reduction and activities consistent with existing national sound environmental management</w:t>
      </w:r>
      <w:r w:rsidRPr="003E6972">
        <w:rPr>
          <w:rStyle w:val="Inget"/>
          <w:color w:val="auto"/>
          <w:sz w:val="20"/>
          <w:szCs w:val="20"/>
        </w:rPr>
        <w:t xml:space="preserve"> programmes </w:t>
      </w:r>
      <w:r w:rsidRPr="003E6972">
        <w:rPr>
          <w:rStyle w:val="Inget"/>
          <w:sz w:val="20"/>
          <w:szCs w:val="20"/>
        </w:rPr>
        <w:t>geared</w:t>
      </w:r>
      <w:r w:rsidRPr="003E6972">
        <w:rPr>
          <w:rStyle w:val="Inget"/>
          <w:color w:val="auto"/>
          <w:sz w:val="20"/>
          <w:szCs w:val="20"/>
        </w:rPr>
        <w:t xml:space="preserve"> towards </w:t>
      </w:r>
      <w:r w:rsidRPr="003E6972">
        <w:rPr>
          <w:rStyle w:val="Inget"/>
          <w:sz w:val="20"/>
          <w:szCs w:val="20"/>
        </w:rPr>
        <w:t>the protection of human health and the environment.</w:t>
      </w:r>
    </w:p>
    <w:p w14:paraId="652AE182" w14:textId="77777777" w:rsidR="004D2252" w:rsidRPr="003E6972" w:rsidRDefault="004D2252" w:rsidP="004D2252">
      <w:pPr>
        <w:pStyle w:val="CH1"/>
        <w:rPr>
          <w:rStyle w:val="Inget"/>
          <w:b w:val="0"/>
          <w:bCs/>
        </w:rPr>
      </w:pPr>
      <w:r w:rsidRPr="003E6972">
        <w:rPr>
          <w:rStyle w:val="Inget"/>
        </w:rPr>
        <w:tab/>
      </w:r>
      <w:r w:rsidRPr="003E6972">
        <w:rPr>
          <w:rFonts w:cs="Arial Unicode MS"/>
        </w:rPr>
        <w:t>III.</w:t>
      </w:r>
      <w:r w:rsidRPr="003E6972">
        <w:rPr>
          <w:rFonts w:cs="Arial Unicode MS"/>
        </w:rPr>
        <w:tab/>
        <w:t>Programme priorities</w:t>
      </w:r>
    </w:p>
    <w:p w14:paraId="391A24F3"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sz w:val="20"/>
          <w:szCs w:val="20"/>
        </w:rPr>
      </w:pPr>
      <w:r w:rsidRPr="003E6972">
        <w:rPr>
          <w:rStyle w:val="Inget"/>
          <w:sz w:val="20"/>
          <w:szCs w:val="20"/>
        </w:rPr>
        <w:t>In accordance with</w:t>
      </w:r>
      <w:r w:rsidRPr="003E6972">
        <w:rPr>
          <w:rStyle w:val="Inget"/>
          <w:color w:val="auto"/>
          <w:sz w:val="20"/>
          <w:szCs w:val="20"/>
        </w:rPr>
        <w:t xml:space="preserve"> article </w:t>
      </w:r>
      <w:r w:rsidRPr="003E6972">
        <w:rPr>
          <w:rStyle w:val="Inget"/>
          <w:sz w:val="20"/>
          <w:szCs w:val="20"/>
        </w:rPr>
        <w:t>13</w:t>
      </w:r>
      <w:r w:rsidRPr="003E6972">
        <w:rPr>
          <w:rStyle w:val="Inget"/>
          <w:color w:val="auto"/>
          <w:sz w:val="20"/>
          <w:szCs w:val="20"/>
        </w:rPr>
        <w:t xml:space="preserve">, paragraph 7, </w:t>
      </w:r>
      <w:r w:rsidRPr="003E6972">
        <w:rPr>
          <w:rStyle w:val="Inget"/>
          <w:sz w:val="20"/>
          <w:szCs w:val="20"/>
        </w:rPr>
        <w:t>of the</w:t>
      </w:r>
      <w:r w:rsidRPr="003E6972">
        <w:rPr>
          <w:rStyle w:val="Inget"/>
          <w:color w:val="auto"/>
          <w:sz w:val="20"/>
          <w:szCs w:val="20"/>
        </w:rPr>
        <w:t xml:space="preserve"> Convention, </w:t>
      </w:r>
      <w:r w:rsidRPr="003E6972">
        <w:rPr>
          <w:rStyle w:val="Inget"/>
          <w:sz w:val="20"/>
          <w:szCs w:val="20"/>
        </w:rPr>
        <w:t>the</w:t>
      </w:r>
      <w:r w:rsidRPr="003E6972">
        <w:rPr>
          <w:rStyle w:val="Inget"/>
          <w:color w:val="auto"/>
          <w:sz w:val="20"/>
          <w:szCs w:val="20"/>
        </w:rPr>
        <w:t xml:space="preserve"> GEF </w:t>
      </w:r>
      <w:r w:rsidRPr="003E6972">
        <w:rPr>
          <w:rStyle w:val="Inget"/>
          <w:sz w:val="20"/>
          <w:szCs w:val="20"/>
        </w:rPr>
        <w:t>Trust Fund shall provide resources to meet the agreed incremental costs of global environmental benefits and the agreed full costs of some enabling activities.</w:t>
      </w:r>
    </w:p>
    <w:p w14:paraId="3B084742"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sz w:val="20"/>
          <w:szCs w:val="20"/>
        </w:rPr>
      </w:pPr>
      <w:proofErr w:type="gramStart"/>
      <w:r w:rsidRPr="003E6972">
        <w:rPr>
          <w:rStyle w:val="Inget"/>
          <w:sz w:val="20"/>
          <w:szCs w:val="20"/>
        </w:rPr>
        <w:t>In particular, it</w:t>
      </w:r>
      <w:proofErr w:type="gramEnd"/>
      <w:r w:rsidRPr="003E6972">
        <w:rPr>
          <w:rStyle w:val="Inget"/>
          <w:sz w:val="20"/>
          <w:szCs w:val="20"/>
        </w:rPr>
        <w:t xml:space="preserve"> should give priority to the following activities when providing financial resources to developing-country</w:t>
      </w:r>
      <w:r w:rsidRPr="003E6972">
        <w:rPr>
          <w:rStyle w:val="Inget"/>
          <w:color w:val="auto"/>
          <w:sz w:val="20"/>
          <w:szCs w:val="20"/>
        </w:rPr>
        <w:t xml:space="preserve"> parties</w:t>
      </w:r>
      <w:r w:rsidRPr="003E6972">
        <w:rPr>
          <w:rStyle w:val="Inget"/>
          <w:sz w:val="20"/>
          <w:szCs w:val="20"/>
        </w:rPr>
        <w:t xml:space="preserve"> and</w:t>
      </w:r>
      <w:r w:rsidRPr="003E6972">
        <w:rPr>
          <w:rStyle w:val="Inget"/>
          <w:color w:val="auto"/>
          <w:sz w:val="20"/>
          <w:szCs w:val="20"/>
        </w:rPr>
        <w:t xml:space="preserve"> parties</w:t>
      </w:r>
      <w:r w:rsidRPr="003E6972">
        <w:rPr>
          <w:rStyle w:val="Inget"/>
          <w:sz w:val="20"/>
          <w:szCs w:val="20"/>
        </w:rPr>
        <w:t xml:space="preserve"> with economies in transition:</w:t>
      </w:r>
    </w:p>
    <w:p w14:paraId="47A285AB" w14:textId="77777777" w:rsidR="004D2252" w:rsidRPr="003E6972" w:rsidRDefault="004D2252" w:rsidP="009F0ECA">
      <w:pPr>
        <w:pStyle w:val="Brdtext"/>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Enabling activities, particularly</w:t>
      </w:r>
      <w:r w:rsidRPr="003E6972">
        <w:rPr>
          <w:rStyle w:val="Inget"/>
          <w:color w:val="auto"/>
          <w:sz w:val="20"/>
          <w:szCs w:val="20"/>
        </w:rPr>
        <w:t xml:space="preserve"> Minamata Convention </w:t>
      </w:r>
      <w:r w:rsidRPr="003E6972">
        <w:rPr>
          <w:rStyle w:val="Inget"/>
          <w:sz w:val="20"/>
          <w:szCs w:val="20"/>
        </w:rPr>
        <w:t>initial assessment activities and national action plans for artisanal and</w:t>
      </w:r>
      <w:r w:rsidRPr="003E6972">
        <w:rPr>
          <w:rStyle w:val="Inget"/>
          <w:color w:val="auto"/>
          <w:sz w:val="20"/>
          <w:szCs w:val="20"/>
        </w:rPr>
        <w:t xml:space="preserve"> small-scale </w:t>
      </w:r>
      <w:r w:rsidRPr="003E6972">
        <w:rPr>
          <w:rStyle w:val="Inget"/>
          <w:sz w:val="20"/>
          <w:szCs w:val="20"/>
        </w:rPr>
        <w:t>gold mining;</w:t>
      </w:r>
    </w:p>
    <w:p w14:paraId="40EED108" w14:textId="77777777" w:rsidR="004D2252" w:rsidRPr="003E6972" w:rsidRDefault="004D2252" w:rsidP="009F0ECA">
      <w:pPr>
        <w:pStyle w:val="Brdtext"/>
        <w:keepNext/>
        <w:keepLines/>
        <w:numPr>
          <w:ilvl w:val="1"/>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Activities to implement</w:t>
      </w:r>
      <w:r w:rsidRPr="003E6972">
        <w:rPr>
          <w:rStyle w:val="Inget"/>
          <w:color w:val="auto"/>
          <w:sz w:val="20"/>
          <w:szCs w:val="20"/>
        </w:rPr>
        <w:t xml:space="preserve"> the provisions of </w:t>
      </w:r>
      <w:r w:rsidRPr="003E6972">
        <w:rPr>
          <w:rStyle w:val="Inget"/>
          <w:sz w:val="20"/>
          <w:szCs w:val="20"/>
        </w:rPr>
        <w:t>the</w:t>
      </w:r>
      <w:r w:rsidRPr="003E6972">
        <w:rPr>
          <w:rStyle w:val="Inget"/>
          <w:color w:val="auto"/>
          <w:sz w:val="20"/>
          <w:szCs w:val="20"/>
        </w:rPr>
        <w:t xml:space="preserve"> Convention, </w:t>
      </w:r>
      <w:r w:rsidRPr="003E6972">
        <w:rPr>
          <w:rStyle w:val="Inget"/>
          <w:sz w:val="20"/>
          <w:szCs w:val="20"/>
        </w:rPr>
        <w:t>affording priority to those that:</w:t>
      </w:r>
    </w:p>
    <w:p w14:paraId="24D5E691" w14:textId="77777777" w:rsidR="004D2252" w:rsidRPr="003E6972" w:rsidRDefault="004D2252" w:rsidP="009F0ECA">
      <w:pPr>
        <w:pStyle w:val="Brdtext"/>
        <w:keepNext/>
        <w:keepLines/>
        <w:numPr>
          <w:ilvl w:val="2"/>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sz w:val="20"/>
          <w:szCs w:val="20"/>
        </w:rPr>
        <w:t>Relate to</w:t>
      </w:r>
      <w:r w:rsidRPr="003E6972">
        <w:rPr>
          <w:rStyle w:val="Inget"/>
          <w:color w:val="auto"/>
          <w:sz w:val="20"/>
          <w:szCs w:val="20"/>
        </w:rPr>
        <w:t xml:space="preserve"> legally binding </w:t>
      </w:r>
      <w:r w:rsidRPr="003E6972">
        <w:rPr>
          <w:rStyle w:val="Inget"/>
          <w:sz w:val="20"/>
          <w:szCs w:val="20"/>
        </w:rPr>
        <w:t>obligations;</w:t>
      </w:r>
    </w:p>
    <w:p w14:paraId="3CFB072B" w14:textId="77777777" w:rsidR="004D2252" w:rsidRPr="003E6972" w:rsidRDefault="004D2252" w:rsidP="009F0ECA">
      <w:pPr>
        <w:pStyle w:val="Brdtext"/>
        <w:numPr>
          <w:ilvl w:val="2"/>
          <w:numId w:val="14"/>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rPr>
      </w:pPr>
      <w:r w:rsidRPr="003E6972">
        <w:rPr>
          <w:rStyle w:val="Inget"/>
          <w:sz w:val="20"/>
          <w:szCs w:val="20"/>
        </w:rPr>
        <w:t>Facilitate early implementation on entry into force of the</w:t>
      </w:r>
      <w:r w:rsidRPr="003E6972">
        <w:rPr>
          <w:rStyle w:val="Inget"/>
          <w:color w:val="auto"/>
          <w:sz w:val="20"/>
          <w:szCs w:val="20"/>
        </w:rPr>
        <w:t xml:space="preserve"> Convention </w:t>
      </w:r>
      <w:r w:rsidRPr="003E6972">
        <w:rPr>
          <w:rStyle w:val="Inget"/>
          <w:sz w:val="20"/>
          <w:szCs w:val="20"/>
        </w:rPr>
        <w:t>for a</w:t>
      </w:r>
      <w:r w:rsidRPr="003E6972">
        <w:rPr>
          <w:rStyle w:val="Inget"/>
          <w:color w:val="auto"/>
          <w:sz w:val="20"/>
          <w:szCs w:val="20"/>
        </w:rPr>
        <w:t xml:space="preserve"> P</w:t>
      </w:r>
      <w:r w:rsidRPr="003E6972">
        <w:rPr>
          <w:rStyle w:val="Inget"/>
          <w:sz w:val="20"/>
          <w:szCs w:val="20"/>
        </w:rPr>
        <w:t>arty</w:t>
      </w:r>
      <w:r w:rsidRPr="003E6972">
        <w:rPr>
          <w:rStyle w:val="Inget"/>
          <w:color w:val="auto"/>
          <w:sz w:val="20"/>
          <w:szCs w:val="20"/>
        </w:rPr>
        <w:t>;</w:t>
      </w:r>
    </w:p>
    <w:p w14:paraId="054EC2D5" w14:textId="77777777" w:rsidR="004D2252" w:rsidRPr="003E6972" w:rsidRDefault="004D2252" w:rsidP="009F0ECA">
      <w:pPr>
        <w:pStyle w:val="Brdtext"/>
        <w:numPr>
          <w:ilvl w:val="2"/>
          <w:numId w:val="14"/>
        </w:numPr>
        <w:pBdr>
          <w:top w:val="none" w:sz="0" w:space="0" w:color="auto"/>
          <w:left w:val="none" w:sz="0" w:space="0" w:color="auto"/>
          <w:bottom w:val="none" w:sz="0" w:space="0" w:color="auto"/>
          <w:right w:val="none" w:sz="0" w:space="0" w:color="auto"/>
          <w:bar w:val="none" w:sz="0" w:color="auto"/>
        </w:pBdr>
        <w:spacing w:after="120"/>
        <w:rPr>
          <w:rStyle w:val="Inget"/>
          <w:sz w:val="20"/>
          <w:szCs w:val="20"/>
        </w:rPr>
      </w:pPr>
      <w:r w:rsidRPr="003E6972">
        <w:rPr>
          <w:rStyle w:val="Inget"/>
          <w:color w:val="auto"/>
          <w:sz w:val="20"/>
          <w:szCs w:val="20"/>
        </w:rPr>
        <w:t xml:space="preserve">Allow </w:t>
      </w:r>
      <w:r w:rsidRPr="003E6972">
        <w:rPr>
          <w:rStyle w:val="Inget"/>
          <w:sz w:val="20"/>
          <w:szCs w:val="20"/>
        </w:rPr>
        <w:t>for a reduction in mercury emissions and releases and address the health and environmental impacts of mercury.</w:t>
      </w:r>
    </w:p>
    <w:p w14:paraId="3995206C" w14:textId="173181FB"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color w:val="auto"/>
          <w:sz w:val="20"/>
          <w:szCs w:val="20"/>
        </w:rPr>
      </w:pPr>
      <w:r w:rsidRPr="003E6972">
        <w:rPr>
          <w:rStyle w:val="Inget"/>
          <w:sz w:val="20"/>
          <w:szCs w:val="20"/>
        </w:rPr>
        <w:t>In providing resources for an activity</w:t>
      </w:r>
      <w:r w:rsidRPr="003E6972">
        <w:rPr>
          <w:rStyle w:val="Inget"/>
          <w:color w:val="auto"/>
          <w:sz w:val="20"/>
          <w:szCs w:val="20"/>
        </w:rPr>
        <w:t xml:space="preserve">, GEF </w:t>
      </w:r>
      <w:r w:rsidRPr="003E6972">
        <w:rPr>
          <w:rStyle w:val="Inget"/>
          <w:sz w:val="20"/>
          <w:szCs w:val="20"/>
        </w:rPr>
        <w:t xml:space="preserve">should </w:t>
      </w:r>
      <w:proofErr w:type="gramStart"/>
      <w:r w:rsidRPr="003E6972">
        <w:rPr>
          <w:rStyle w:val="Inget"/>
          <w:sz w:val="20"/>
          <w:szCs w:val="20"/>
        </w:rPr>
        <w:t>take into account</w:t>
      </w:r>
      <w:proofErr w:type="gramEnd"/>
      <w:r w:rsidRPr="003E6972">
        <w:rPr>
          <w:rStyle w:val="Inget"/>
          <w:sz w:val="20"/>
          <w:szCs w:val="20"/>
        </w:rPr>
        <w:t xml:space="preserve"> the potential mercury reductions of a proposed activity relative to its costs in accordance with</w:t>
      </w:r>
      <w:r w:rsidRPr="003E6972">
        <w:rPr>
          <w:rStyle w:val="Inget"/>
          <w:color w:val="auto"/>
          <w:sz w:val="20"/>
          <w:szCs w:val="20"/>
        </w:rPr>
        <w:t xml:space="preserve"> paragraph 8 </w:t>
      </w:r>
      <w:r w:rsidRPr="003E6972">
        <w:rPr>
          <w:rStyle w:val="Inget"/>
          <w:sz w:val="20"/>
          <w:szCs w:val="20"/>
        </w:rPr>
        <w:t>of</w:t>
      </w:r>
      <w:r w:rsidRPr="003E6972">
        <w:rPr>
          <w:rStyle w:val="Inget"/>
          <w:color w:val="auto"/>
          <w:sz w:val="20"/>
          <w:szCs w:val="20"/>
        </w:rPr>
        <w:t xml:space="preserve"> article </w:t>
      </w:r>
      <w:r w:rsidRPr="003E6972">
        <w:rPr>
          <w:rStyle w:val="Inget"/>
          <w:sz w:val="20"/>
          <w:szCs w:val="20"/>
        </w:rPr>
        <w:t>13 of the</w:t>
      </w:r>
      <w:r w:rsidRPr="003E6972">
        <w:rPr>
          <w:rStyle w:val="Inget"/>
          <w:color w:val="auto"/>
          <w:sz w:val="20"/>
          <w:szCs w:val="20"/>
        </w:rPr>
        <w:t xml:space="preserve"> Convent</w:t>
      </w:r>
      <w:bookmarkStart w:id="0" w:name="_GoBack"/>
      <w:bookmarkEnd w:id="0"/>
      <w:r w:rsidRPr="003E6972">
        <w:rPr>
          <w:rStyle w:val="Inget"/>
          <w:color w:val="auto"/>
          <w:sz w:val="20"/>
          <w:szCs w:val="20"/>
        </w:rPr>
        <w:t>ion.</w:t>
      </w:r>
    </w:p>
    <w:p w14:paraId="2909AE2C" w14:textId="77777777" w:rsidR="004D2252" w:rsidRPr="003E6972" w:rsidRDefault="004D2252" w:rsidP="004D2252">
      <w:pPr>
        <w:pStyle w:val="CH1"/>
        <w:rPr>
          <w:rStyle w:val="Inget"/>
          <w:b w:val="0"/>
          <w:bCs/>
        </w:rPr>
      </w:pPr>
      <w:r w:rsidRPr="003E6972">
        <w:rPr>
          <w:rStyle w:val="Inget"/>
        </w:rPr>
        <w:tab/>
      </w:r>
      <w:r w:rsidRPr="003E6972">
        <w:rPr>
          <w:rFonts w:cs="Arial Unicode MS"/>
        </w:rPr>
        <w:t>IV.</w:t>
      </w:r>
      <w:r w:rsidRPr="003E6972">
        <w:rPr>
          <w:rFonts w:cs="Arial Unicode MS"/>
        </w:rPr>
        <w:tab/>
        <w:t>Indicative list of categories of activities that could receive support</w:t>
      </w:r>
    </w:p>
    <w:p w14:paraId="736B86C7" w14:textId="77777777" w:rsidR="004D2252" w:rsidRPr="003E6972" w:rsidRDefault="004D2252" w:rsidP="004D2252">
      <w:pPr>
        <w:pStyle w:val="CH2"/>
        <w:rPr>
          <w:rStyle w:val="Inget"/>
          <w:b w:val="0"/>
          <w:bCs/>
        </w:rPr>
      </w:pPr>
      <w:r w:rsidRPr="003E6972">
        <w:rPr>
          <w:rFonts w:cs="Arial Unicode MS"/>
        </w:rPr>
        <w:tab/>
        <w:t>A.</w:t>
      </w:r>
      <w:r w:rsidRPr="003E6972">
        <w:rPr>
          <w:rFonts w:cs="Arial Unicode MS"/>
        </w:rPr>
        <w:tab/>
        <w:t>Enabling activities</w:t>
      </w:r>
    </w:p>
    <w:p w14:paraId="7F1E745A" w14:textId="77777777" w:rsidR="004D2252" w:rsidRPr="003E6972" w:rsidRDefault="004D2252" w:rsidP="004D2252">
      <w:pPr>
        <w:pStyle w:val="CH3"/>
        <w:rPr>
          <w:rStyle w:val="Inget"/>
          <w:b w:val="0"/>
          <w:bCs/>
        </w:rPr>
      </w:pPr>
      <w:r w:rsidRPr="003E6972">
        <w:rPr>
          <w:rFonts w:cs="Arial Unicode MS"/>
        </w:rPr>
        <w:tab/>
        <w:t>1.</w:t>
      </w:r>
      <w:r w:rsidRPr="003E6972">
        <w:rPr>
          <w:rFonts w:cs="Arial Unicode MS"/>
        </w:rPr>
        <w:tab/>
        <w:t>Minamata Convention initial assessments (MIAs)</w:t>
      </w:r>
    </w:p>
    <w:p w14:paraId="4E62AED5" w14:textId="77777777" w:rsidR="004D2252" w:rsidRPr="003E6972" w:rsidRDefault="004D2252" w:rsidP="004D2252">
      <w:pPr>
        <w:pStyle w:val="CH3"/>
        <w:rPr>
          <w:rStyle w:val="Inget"/>
          <w:b w:val="0"/>
          <w:bCs/>
        </w:rPr>
      </w:pPr>
      <w:r w:rsidRPr="003E6972">
        <w:rPr>
          <w:rStyle w:val="Inget"/>
        </w:rPr>
        <w:tab/>
        <w:t>2.</w:t>
      </w:r>
      <w:r w:rsidRPr="003E6972">
        <w:rPr>
          <w:rStyle w:val="Inget"/>
        </w:rPr>
        <w:tab/>
        <w:t>Preparation of national action plans for artisanal and small-scale gold mining in accordance with paragraph 3 of article 7 and Annex C</w:t>
      </w:r>
    </w:p>
    <w:p w14:paraId="3ADA113F" w14:textId="77777777" w:rsidR="004D2252" w:rsidRPr="003E6972" w:rsidRDefault="004D2252" w:rsidP="004D2252">
      <w:pPr>
        <w:pStyle w:val="CH3"/>
        <w:rPr>
          <w:rStyle w:val="Inget"/>
          <w:b w:val="0"/>
          <w:bCs/>
        </w:rPr>
      </w:pPr>
      <w:r w:rsidRPr="003E6972">
        <w:rPr>
          <w:rFonts w:cs="Arial Unicode MS"/>
        </w:rPr>
        <w:tab/>
        <w:t>3.</w:t>
      </w:r>
      <w:r w:rsidRPr="003E6972">
        <w:rPr>
          <w:rFonts w:cs="Arial Unicode MS"/>
        </w:rPr>
        <w:tab/>
        <w:t>Other types of enabling activities as agreed by the Conference of the Parties</w:t>
      </w:r>
    </w:p>
    <w:p w14:paraId="5AD47EFE" w14:textId="77777777" w:rsidR="004D2252" w:rsidRPr="003E6972" w:rsidRDefault="004D2252" w:rsidP="004D2252">
      <w:pPr>
        <w:pStyle w:val="CH2"/>
        <w:rPr>
          <w:rStyle w:val="Inget"/>
          <w:b w:val="0"/>
          <w:bCs/>
          <w:szCs w:val="28"/>
        </w:rPr>
      </w:pPr>
      <w:r w:rsidRPr="003E6972">
        <w:rPr>
          <w:rStyle w:val="Inget"/>
          <w:szCs w:val="28"/>
        </w:rPr>
        <w:tab/>
      </w:r>
      <w:r w:rsidRPr="003E6972">
        <w:rPr>
          <w:rFonts w:cs="Arial Unicode MS"/>
        </w:rPr>
        <w:t>B.</w:t>
      </w:r>
      <w:r w:rsidRPr="003E6972">
        <w:rPr>
          <w:rFonts w:cs="Arial Unicode MS"/>
        </w:rPr>
        <w:tab/>
        <w:t>Activities to implement the provisions of the Convention</w:t>
      </w:r>
    </w:p>
    <w:p w14:paraId="2518BFB3" w14:textId="77777777" w:rsidR="004D2252" w:rsidRPr="003E6972" w:rsidRDefault="004D2252" w:rsidP="004D2252">
      <w:pPr>
        <w:pStyle w:val="CH3"/>
        <w:rPr>
          <w:rStyle w:val="Inget"/>
          <w:b w:val="0"/>
          <w:bCs/>
        </w:rPr>
      </w:pPr>
      <w:r w:rsidRPr="003E6972">
        <w:rPr>
          <w:rStyle w:val="Inget"/>
        </w:rPr>
        <w:tab/>
        <w:t>1.</w:t>
      </w:r>
      <w:r w:rsidRPr="003E6972">
        <w:rPr>
          <w:rStyle w:val="Inget"/>
        </w:rPr>
        <w:tab/>
        <w:t>Activities to implement the provisions of the Convention that relate to legally binding obligations</w:t>
      </w:r>
    </w:p>
    <w:p w14:paraId="417EFF4F"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sz w:val="20"/>
          <w:szCs w:val="20"/>
        </w:rPr>
      </w:pPr>
      <w:r w:rsidRPr="003E6972">
        <w:rPr>
          <w:rStyle w:val="Inget"/>
          <w:sz w:val="20"/>
          <w:szCs w:val="20"/>
        </w:rPr>
        <w:t>When providing financial resources to eligible</w:t>
      </w:r>
      <w:r w:rsidRPr="003E6972">
        <w:rPr>
          <w:rStyle w:val="Inget"/>
          <w:color w:val="auto"/>
          <w:sz w:val="20"/>
          <w:szCs w:val="20"/>
        </w:rPr>
        <w:t xml:space="preserve"> parties</w:t>
      </w:r>
      <w:r w:rsidRPr="003E6972">
        <w:rPr>
          <w:rStyle w:val="Inget"/>
          <w:sz w:val="20"/>
          <w:szCs w:val="20"/>
        </w:rPr>
        <w:t xml:space="preserve"> for activities to implement</w:t>
      </w:r>
      <w:r w:rsidRPr="003E6972">
        <w:rPr>
          <w:rStyle w:val="Inget"/>
          <w:color w:val="auto"/>
          <w:sz w:val="20"/>
          <w:szCs w:val="20"/>
        </w:rPr>
        <w:t xml:space="preserve"> the provisions of </w:t>
      </w:r>
      <w:r w:rsidRPr="003E6972">
        <w:rPr>
          <w:rStyle w:val="Inget"/>
          <w:sz w:val="20"/>
          <w:szCs w:val="20"/>
        </w:rPr>
        <w:t>the</w:t>
      </w:r>
      <w:r w:rsidRPr="003E6972">
        <w:rPr>
          <w:rStyle w:val="Inget"/>
          <w:color w:val="auto"/>
          <w:sz w:val="20"/>
          <w:szCs w:val="20"/>
        </w:rPr>
        <w:t xml:space="preserve"> Convention, GEF </w:t>
      </w:r>
      <w:r w:rsidRPr="003E6972">
        <w:rPr>
          <w:rStyle w:val="Inget"/>
          <w:sz w:val="20"/>
          <w:szCs w:val="20"/>
        </w:rPr>
        <w:t>should afford priority to those activities that relate to</w:t>
      </w:r>
      <w:r w:rsidRPr="003E6972">
        <w:rPr>
          <w:rStyle w:val="Inget"/>
          <w:color w:val="auto"/>
          <w:sz w:val="20"/>
          <w:szCs w:val="20"/>
        </w:rPr>
        <w:t xml:space="preserve"> legally binding </w:t>
      </w:r>
      <w:r w:rsidRPr="003E6972">
        <w:rPr>
          <w:rStyle w:val="Inget"/>
          <w:sz w:val="20"/>
          <w:szCs w:val="20"/>
        </w:rPr>
        <w:t>obligations of</w:t>
      </w:r>
      <w:r w:rsidRPr="003E6972">
        <w:rPr>
          <w:rStyle w:val="Inget"/>
          <w:color w:val="auto"/>
          <w:sz w:val="20"/>
          <w:szCs w:val="20"/>
        </w:rPr>
        <w:t xml:space="preserve"> parties</w:t>
      </w:r>
      <w:r w:rsidRPr="003E6972">
        <w:rPr>
          <w:rStyle w:val="Inget"/>
          <w:sz w:val="20"/>
          <w:szCs w:val="20"/>
        </w:rPr>
        <w:t xml:space="preserve"> under the</w:t>
      </w:r>
      <w:r w:rsidRPr="003E6972">
        <w:rPr>
          <w:rStyle w:val="Inget"/>
          <w:color w:val="auto"/>
          <w:sz w:val="20"/>
          <w:szCs w:val="20"/>
        </w:rPr>
        <w:t xml:space="preserve"> Convention </w:t>
      </w:r>
      <w:r w:rsidRPr="003E6972">
        <w:rPr>
          <w:rStyle w:val="Inget"/>
          <w:sz w:val="20"/>
          <w:szCs w:val="20"/>
        </w:rPr>
        <w:t xml:space="preserve">and should take into account the potential mercury reductions of a proposed activity relative to its costs. Such activities could include those related to the following areas, listed in no </w:t>
      </w:r>
      <w:proofErr w:type="gramStart"/>
      <w:r w:rsidRPr="003E6972">
        <w:rPr>
          <w:rStyle w:val="Inget"/>
          <w:sz w:val="20"/>
          <w:szCs w:val="20"/>
        </w:rPr>
        <w:t>particular order</w:t>
      </w:r>
      <w:proofErr w:type="gramEnd"/>
      <w:r w:rsidRPr="003E6972">
        <w:rPr>
          <w:rStyle w:val="Inget"/>
          <w:sz w:val="20"/>
          <w:szCs w:val="20"/>
        </w:rPr>
        <w:t>:</w:t>
      </w:r>
    </w:p>
    <w:p w14:paraId="401545E7"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Mercury supply sources and trade;</w:t>
      </w:r>
    </w:p>
    <w:p w14:paraId="0B277E58"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Mercury-added products;</w:t>
      </w:r>
    </w:p>
    <w:p w14:paraId="0526BE21"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Manufacturing processes in which mercury or mercury compounds are used;</w:t>
      </w:r>
    </w:p>
    <w:p w14:paraId="3A58A865"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Artisanal and small-scale gold mining;</w:t>
      </w:r>
    </w:p>
    <w:p w14:paraId="7640EB34"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Emissions</w:t>
      </w:r>
      <w:r w:rsidRPr="003E6972">
        <w:rPr>
          <w:rStyle w:val="Inget"/>
        </w:rPr>
        <w:t>;</w:t>
      </w:r>
    </w:p>
    <w:p w14:paraId="338C12CB"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Releases;</w:t>
      </w:r>
    </w:p>
    <w:p w14:paraId="1FB9B49D"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Environmentally sound interim storage of mercury, other than waste mercury;</w:t>
      </w:r>
    </w:p>
    <w:p w14:paraId="3252ADB9"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Mercury wastes</w:t>
      </w:r>
      <w:r w:rsidRPr="003E6972">
        <w:rPr>
          <w:rStyle w:val="Inget"/>
        </w:rPr>
        <w:t>;</w:t>
      </w:r>
    </w:p>
    <w:p w14:paraId="28DF5F03"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Reporting;</w:t>
      </w:r>
    </w:p>
    <w:p w14:paraId="1C4CB089" w14:textId="77777777" w:rsidR="004D2252" w:rsidRPr="003E6972" w:rsidRDefault="004D2252" w:rsidP="009F0ECA">
      <w:pPr>
        <w:pStyle w:val="Normal-pool"/>
        <w:numPr>
          <w:ilvl w:val="0"/>
          <w:numId w:val="17"/>
        </w:numPr>
        <w:tabs>
          <w:tab w:val="clear" w:pos="1814"/>
          <w:tab w:val="clear" w:pos="4082"/>
          <w:tab w:val="left" w:pos="1134"/>
          <w:tab w:val="left" w:pos="1871"/>
          <w:tab w:val="left" w:pos="3119"/>
        </w:tabs>
        <w:spacing w:after="120"/>
      </w:pPr>
      <w:r w:rsidRPr="003E6972">
        <w:t>Relevant capacity-building, technical assistance and technology transfer in relation to the above.</w:t>
      </w:r>
    </w:p>
    <w:p w14:paraId="451D4552" w14:textId="77777777" w:rsidR="004D2252" w:rsidRPr="003E6972" w:rsidRDefault="004D2252" w:rsidP="004D2252">
      <w:pPr>
        <w:pStyle w:val="CH3"/>
      </w:pPr>
      <w:r w:rsidRPr="003E6972">
        <w:rPr>
          <w:rFonts w:cs="Arial Unicode MS"/>
        </w:rPr>
        <w:tab/>
        <w:t>2.</w:t>
      </w:r>
      <w:r w:rsidRPr="003E6972">
        <w:rPr>
          <w:rFonts w:cs="Arial Unicode MS"/>
        </w:rPr>
        <w:tab/>
        <w:t>Activities to implement the provisions of the Convention that facilitate early implementation on entry into force of the Convention for a Party</w:t>
      </w:r>
    </w:p>
    <w:p w14:paraId="0EF9348E" w14:textId="77777777" w:rsidR="004D2252" w:rsidRPr="003E6972" w:rsidRDefault="004D2252" w:rsidP="009F0ECA">
      <w:pPr>
        <w:pStyle w:val="Brdtext"/>
        <w:numPr>
          <w:ilvl w:val="0"/>
          <w:numId w:val="15"/>
        </w:numPr>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rStyle w:val="Inget"/>
          <w:sz w:val="20"/>
          <w:szCs w:val="20"/>
        </w:rPr>
      </w:pPr>
      <w:r w:rsidRPr="003E6972">
        <w:rPr>
          <w:rStyle w:val="Inget"/>
          <w:sz w:val="20"/>
          <w:szCs w:val="20"/>
        </w:rPr>
        <w:t>When considering activities to implement</w:t>
      </w:r>
      <w:r w:rsidRPr="003E6972">
        <w:rPr>
          <w:rStyle w:val="Inget"/>
          <w:color w:val="auto"/>
          <w:sz w:val="20"/>
          <w:szCs w:val="20"/>
        </w:rPr>
        <w:t xml:space="preserve"> the provisions of </w:t>
      </w:r>
      <w:r w:rsidRPr="003E6972">
        <w:rPr>
          <w:rStyle w:val="Inget"/>
          <w:sz w:val="20"/>
          <w:szCs w:val="20"/>
        </w:rPr>
        <w:t>the</w:t>
      </w:r>
      <w:r w:rsidRPr="003E6972">
        <w:rPr>
          <w:rStyle w:val="Inget"/>
          <w:color w:val="auto"/>
          <w:sz w:val="20"/>
          <w:szCs w:val="20"/>
        </w:rPr>
        <w:t xml:space="preserve"> Convention </w:t>
      </w:r>
      <w:r w:rsidRPr="003E6972">
        <w:rPr>
          <w:rStyle w:val="Inget"/>
          <w:sz w:val="20"/>
          <w:szCs w:val="20"/>
        </w:rPr>
        <w:t>that facilitate early implementation on entry into force</w:t>
      </w:r>
      <w:r w:rsidRPr="003E6972">
        <w:rPr>
          <w:rStyle w:val="Inget"/>
          <w:color w:val="auto"/>
          <w:sz w:val="20"/>
          <w:szCs w:val="20"/>
        </w:rPr>
        <w:t xml:space="preserve">, GEF </w:t>
      </w:r>
      <w:r w:rsidRPr="003E6972">
        <w:rPr>
          <w:rStyle w:val="Inget"/>
          <w:sz w:val="20"/>
          <w:szCs w:val="20"/>
        </w:rPr>
        <w:t>should</w:t>
      </w:r>
      <w:r w:rsidRPr="003E6972">
        <w:rPr>
          <w:rStyle w:val="Inget"/>
          <w:color w:val="auto"/>
          <w:sz w:val="20"/>
          <w:szCs w:val="20"/>
        </w:rPr>
        <w:t xml:space="preserve"> also </w:t>
      </w:r>
      <w:r w:rsidRPr="003E6972">
        <w:rPr>
          <w:rStyle w:val="Inget"/>
          <w:sz w:val="20"/>
          <w:szCs w:val="20"/>
        </w:rPr>
        <w:t>consider providing support for activities that, although they are not</w:t>
      </w:r>
      <w:r w:rsidRPr="003E6972">
        <w:rPr>
          <w:rStyle w:val="Inget"/>
          <w:color w:val="auto"/>
          <w:sz w:val="20"/>
          <w:szCs w:val="20"/>
        </w:rPr>
        <w:t xml:space="preserve"> the subject of </w:t>
      </w:r>
      <w:r w:rsidRPr="003E6972">
        <w:rPr>
          <w:rStyle w:val="Inget"/>
          <w:sz w:val="20"/>
          <w:szCs w:val="20"/>
        </w:rPr>
        <w:t>a legal obligation under the</w:t>
      </w:r>
      <w:r w:rsidRPr="003E6972">
        <w:rPr>
          <w:rStyle w:val="Inget"/>
          <w:color w:val="auto"/>
          <w:sz w:val="20"/>
          <w:szCs w:val="20"/>
        </w:rPr>
        <w:t xml:space="preserve"> Convention, may </w:t>
      </w:r>
      <w:r w:rsidRPr="003E6972">
        <w:rPr>
          <w:rStyle w:val="Inget"/>
          <w:sz w:val="20"/>
          <w:szCs w:val="20"/>
        </w:rPr>
        <w:t>significantly contribute to a Party’s preparedness to implement the</w:t>
      </w:r>
      <w:r w:rsidRPr="003E6972">
        <w:rPr>
          <w:rStyle w:val="Inget"/>
          <w:color w:val="auto"/>
          <w:sz w:val="20"/>
          <w:szCs w:val="20"/>
        </w:rPr>
        <w:t xml:space="preserve"> Convention </w:t>
      </w:r>
      <w:r w:rsidRPr="003E6972">
        <w:rPr>
          <w:rStyle w:val="Inget"/>
          <w:sz w:val="20"/>
          <w:szCs w:val="20"/>
        </w:rPr>
        <w:t>upon its entry into force for that country.</w:t>
      </w:r>
    </w:p>
    <w:p w14:paraId="0961F64B"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color w:val="auto"/>
          <w:sz w:val="20"/>
          <w:szCs w:val="20"/>
        </w:rPr>
      </w:pPr>
      <w:r w:rsidRPr="003E6972">
        <w:rPr>
          <w:rStyle w:val="Inget"/>
          <w:sz w:val="20"/>
          <w:szCs w:val="20"/>
        </w:rPr>
        <w:t>Within the context of the</w:t>
      </w:r>
      <w:r w:rsidRPr="003E6972">
        <w:rPr>
          <w:rStyle w:val="Inget"/>
          <w:color w:val="auto"/>
          <w:sz w:val="20"/>
          <w:szCs w:val="20"/>
        </w:rPr>
        <w:t xml:space="preserve"> GEF </w:t>
      </w:r>
      <w:r w:rsidRPr="003E6972">
        <w:rPr>
          <w:rStyle w:val="Inget"/>
          <w:sz w:val="20"/>
          <w:szCs w:val="20"/>
        </w:rPr>
        <w:t>mandate, such activities could</w:t>
      </w:r>
      <w:r w:rsidRPr="003E6972">
        <w:rPr>
          <w:rStyle w:val="Inget"/>
          <w:color w:val="auto"/>
          <w:sz w:val="20"/>
          <w:szCs w:val="20"/>
        </w:rPr>
        <w:t xml:space="preserve"> include, inter alia, </w:t>
      </w:r>
      <w:r w:rsidRPr="003E6972">
        <w:rPr>
          <w:rStyle w:val="Inget"/>
          <w:sz w:val="20"/>
          <w:szCs w:val="20"/>
        </w:rPr>
        <w:t>support for</w:t>
      </w:r>
      <w:r w:rsidRPr="003E6972">
        <w:rPr>
          <w:rStyle w:val="Inget"/>
          <w:color w:val="auto"/>
          <w:sz w:val="20"/>
          <w:szCs w:val="20"/>
        </w:rPr>
        <w:t>:</w:t>
      </w:r>
    </w:p>
    <w:p w14:paraId="0E325266" w14:textId="77777777" w:rsidR="004D2252" w:rsidRPr="003E6972" w:rsidRDefault="004D2252" w:rsidP="009F0ECA">
      <w:pPr>
        <w:pStyle w:val="Brdtext"/>
        <w:numPr>
          <w:ilvl w:val="1"/>
          <w:numId w:val="16"/>
        </w:numPr>
        <w:pBdr>
          <w:top w:val="none" w:sz="0" w:space="0" w:color="auto"/>
          <w:left w:val="none" w:sz="0" w:space="0" w:color="auto"/>
          <w:bottom w:val="none" w:sz="0" w:space="0" w:color="auto"/>
          <w:right w:val="none" w:sz="0" w:space="0" w:color="auto"/>
          <w:bar w:val="none" w:sz="0" w:color="auto"/>
        </w:pBdr>
        <w:tabs>
          <w:tab w:val="clear" w:pos="2381"/>
          <w:tab w:val="left" w:pos="624"/>
          <w:tab w:val="left" w:pos="1871"/>
          <w:tab w:val="left" w:pos="3119"/>
        </w:tabs>
        <w:spacing w:after="120"/>
        <w:rPr>
          <w:rStyle w:val="Inget"/>
          <w:color w:val="auto"/>
          <w:sz w:val="20"/>
          <w:szCs w:val="20"/>
        </w:rPr>
      </w:pPr>
      <w:proofErr w:type="gramStart"/>
      <w:r w:rsidRPr="003E6972">
        <w:rPr>
          <w:rStyle w:val="Inget"/>
          <w:color w:val="auto"/>
          <w:sz w:val="20"/>
          <w:szCs w:val="20"/>
        </w:rPr>
        <w:t>With regard to</w:t>
      </w:r>
      <w:proofErr w:type="gramEnd"/>
      <w:r w:rsidRPr="003E6972">
        <w:rPr>
          <w:rStyle w:val="Inget"/>
          <w:color w:val="auto"/>
          <w:sz w:val="20"/>
          <w:szCs w:val="20"/>
        </w:rPr>
        <w:t xml:space="preserve"> </w:t>
      </w:r>
      <w:r w:rsidRPr="003E6972">
        <w:rPr>
          <w:rStyle w:val="Inget"/>
          <w:sz w:val="20"/>
          <w:szCs w:val="20"/>
        </w:rPr>
        <w:t>emissions, the</w:t>
      </w:r>
      <w:r w:rsidRPr="003E6972">
        <w:rPr>
          <w:rStyle w:val="Inget"/>
          <w:color w:val="auto"/>
          <w:sz w:val="20"/>
          <w:szCs w:val="20"/>
        </w:rPr>
        <w:t xml:space="preserve"> development </w:t>
      </w:r>
      <w:r w:rsidRPr="003E6972">
        <w:rPr>
          <w:rStyle w:val="Inget"/>
          <w:sz w:val="20"/>
          <w:szCs w:val="20"/>
        </w:rPr>
        <w:t>by</w:t>
      </w:r>
      <w:r w:rsidRPr="003E6972">
        <w:rPr>
          <w:rStyle w:val="Inget"/>
          <w:color w:val="auto"/>
          <w:sz w:val="20"/>
          <w:szCs w:val="20"/>
        </w:rPr>
        <w:t xml:space="preserve"> parties</w:t>
      </w:r>
      <w:r w:rsidRPr="003E6972">
        <w:rPr>
          <w:rStyle w:val="Inget"/>
          <w:sz w:val="20"/>
          <w:szCs w:val="20"/>
        </w:rPr>
        <w:t xml:space="preserve"> with relevant sources of emissions of national plans setting out the measures to be taken to control emissions and their expected targets</w:t>
      </w:r>
      <w:r w:rsidRPr="003E6972">
        <w:rPr>
          <w:rStyle w:val="Inget"/>
          <w:color w:val="auto"/>
          <w:sz w:val="20"/>
          <w:szCs w:val="20"/>
        </w:rPr>
        <w:t xml:space="preserve">, goals </w:t>
      </w:r>
      <w:r w:rsidRPr="003E6972">
        <w:rPr>
          <w:rStyle w:val="Inget"/>
          <w:sz w:val="20"/>
          <w:szCs w:val="20"/>
        </w:rPr>
        <w:t>and outcomes</w:t>
      </w:r>
      <w:r w:rsidRPr="003E6972">
        <w:rPr>
          <w:rStyle w:val="Inget"/>
          <w:color w:val="auto"/>
          <w:sz w:val="20"/>
          <w:szCs w:val="20"/>
        </w:rPr>
        <w:t>;</w:t>
      </w:r>
    </w:p>
    <w:p w14:paraId="3B8FBA8B" w14:textId="77777777" w:rsidR="004D2252" w:rsidRPr="003E6972" w:rsidRDefault="004D2252" w:rsidP="009F0ECA">
      <w:pPr>
        <w:pStyle w:val="Brdtext"/>
        <w:numPr>
          <w:ilvl w:val="1"/>
          <w:numId w:val="16"/>
        </w:numPr>
        <w:pBdr>
          <w:top w:val="none" w:sz="0" w:space="0" w:color="auto"/>
          <w:left w:val="none" w:sz="0" w:space="0" w:color="auto"/>
          <w:bottom w:val="none" w:sz="0" w:space="0" w:color="auto"/>
          <w:right w:val="none" w:sz="0" w:space="0" w:color="auto"/>
          <w:bar w:val="none" w:sz="0" w:color="auto"/>
        </w:pBdr>
        <w:tabs>
          <w:tab w:val="clear" w:pos="2381"/>
          <w:tab w:val="left" w:pos="624"/>
          <w:tab w:val="left" w:pos="1871"/>
          <w:tab w:val="left" w:pos="3119"/>
        </w:tabs>
        <w:spacing w:after="120"/>
        <w:rPr>
          <w:rStyle w:val="Inget"/>
          <w:color w:val="auto"/>
          <w:sz w:val="20"/>
          <w:szCs w:val="20"/>
        </w:rPr>
      </w:pPr>
      <w:proofErr w:type="gramStart"/>
      <w:r w:rsidRPr="003E6972">
        <w:rPr>
          <w:rStyle w:val="Inget"/>
          <w:color w:val="auto"/>
          <w:sz w:val="20"/>
          <w:szCs w:val="20"/>
        </w:rPr>
        <w:t>With regard to</w:t>
      </w:r>
      <w:proofErr w:type="gramEnd"/>
      <w:r w:rsidRPr="003E6972">
        <w:rPr>
          <w:rStyle w:val="Inget"/>
          <w:color w:val="auto"/>
          <w:sz w:val="20"/>
          <w:szCs w:val="20"/>
        </w:rPr>
        <w:t xml:space="preserve"> </w:t>
      </w:r>
      <w:r w:rsidRPr="003E6972">
        <w:rPr>
          <w:rStyle w:val="Inget"/>
          <w:sz w:val="20"/>
          <w:szCs w:val="20"/>
        </w:rPr>
        <w:t>releases, the</w:t>
      </w:r>
      <w:r w:rsidRPr="003E6972">
        <w:rPr>
          <w:rStyle w:val="Inget"/>
          <w:color w:val="auto"/>
          <w:sz w:val="20"/>
          <w:szCs w:val="20"/>
        </w:rPr>
        <w:t xml:space="preserve"> development </w:t>
      </w:r>
      <w:r w:rsidRPr="003E6972">
        <w:rPr>
          <w:rStyle w:val="Inget"/>
          <w:sz w:val="20"/>
          <w:szCs w:val="20"/>
        </w:rPr>
        <w:t>by</w:t>
      </w:r>
      <w:r w:rsidRPr="003E6972">
        <w:rPr>
          <w:rStyle w:val="Inget"/>
          <w:color w:val="auto"/>
          <w:sz w:val="20"/>
          <w:szCs w:val="20"/>
        </w:rPr>
        <w:t xml:space="preserve"> parties</w:t>
      </w:r>
      <w:r w:rsidRPr="003E6972">
        <w:rPr>
          <w:rStyle w:val="Inget"/>
          <w:sz w:val="20"/>
          <w:szCs w:val="20"/>
        </w:rPr>
        <w:t xml:space="preserve"> with relevant sources of releases of national plans setting out the measures to be taken to control releases and their expected targets</w:t>
      </w:r>
      <w:r w:rsidRPr="003E6972">
        <w:rPr>
          <w:rStyle w:val="Inget"/>
          <w:color w:val="auto"/>
          <w:sz w:val="20"/>
          <w:szCs w:val="20"/>
        </w:rPr>
        <w:t xml:space="preserve">, goals </w:t>
      </w:r>
      <w:r w:rsidRPr="003E6972">
        <w:rPr>
          <w:rStyle w:val="Inget"/>
          <w:sz w:val="20"/>
          <w:szCs w:val="20"/>
        </w:rPr>
        <w:t>and outcomes</w:t>
      </w:r>
      <w:r w:rsidRPr="003E6972">
        <w:rPr>
          <w:rStyle w:val="Inget"/>
          <w:color w:val="auto"/>
          <w:sz w:val="20"/>
          <w:szCs w:val="20"/>
        </w:rPr>
        <w:t>;</w:t>
      </w:r>
    </w:p>
    <w:p w14:paraId="13F435C6" w14:textId="77777777" w:rsidR="004D2252" w:rsidRPr="003E6972" w:rsidRDefault="004D2252" w:rsidP="009F0ECA">
      <w:pPr>
        <w:pStyle w:val="Brdtext"/>
        <w:numPr>
          <w:ilvl w:val="1"/>
          <w:numId w:val="16"/>
        </w:numPr>
        <w:pBdr>
          <w:top w:val="none" w:sz="0" w:space="0" w:color="auto"/>
          <w:left w:val="none" w:sz="0" w:space="0" w:color="auto"/>
          <w:bottom w:val="none" w:sz="0" w:space="0" w:color="auto"/>
          <w:right w:val="none" w:sz="0" w:space="0" w:color="auto"/>
          <w:bar w:val="none" w:sz="0" w:color="auto"/>
        </w:pBdr>
        <w:tabs>
          <w:tab w:val="clear" w:pos="2381"/>
          <w:tab w:val="left" w:pos="624"/>
          <w:tab w:val="left" w:pos="1871"/>
          <w:tab w:val="left" w:pos="3119"/>
        </w:tabs>
        <w:spacing w:after="120"/>
        <w:rPr>
          <w:rStyle w:val="Inget"/>
          <w:sz w:val="20"/>
          <w:szCs w:val="20"/>
        </w:rPr>
      </w:pPr>
      <w:proofErr w:type="gramStart"/>
      <w:r w:rsidRPr="003E6972">
        <w:rPr>
          <w:rStyle w:val="Inget"/>
          <w:color w:val="auto"/>
          <w:sz w:val="20"/>
          <w:szCs w:val="20"/>
        </w:rPr>
        <w:t>With regard to</w:t>
      </w:r>
      <w:proofErr w:type="gramEnd"/>
      <w:r w:rsidRPr="003E6972">
        <w:rPr>
          <w:rStyle w:val="Inget"/>
          <w:color w:val="auto"/>
          <w:sz w:val="20"/>
          <w:szCs w:val="20"/>
        </w:rPr>
        <w:t xml:space="preserve"> </w:t>
      </w:r>
      <w:r w:rsidRPr="003E6972">
        <w:rPr>
          <w:rStyle w:val="Inget"/>
          <w:sz w:val="20"/>
          <w:szCs w:val="20"/>
        </w:rPr>
        <w:t>contaminated sites</w:t>
      </w:r>
      <w:r w:rsidRPr="003E6972">
        <w:rPr>
          <w:rStyle w:val="Inget"/>
          <w:color w:val="auto"/>
          <w:sz w:val="20"/>
          <w:szCs w:val="20"/>
        </w:rPr>
        <w:t xml:space="preserve">, capacity-building </w:t>
      </w:r>
      <w:r w:rsidRPr="003E6972">
        <w:rPr>
          <w:rStyle w:val="Inget"/>
          <w:sz w:val="20"/>
          <w:szCs w:val="20"/>
        </w:rPr>
        <w:t>for the</w:t>
      </w:r>
      <w:r w:rsidRPr="003E6972">
        <w:rPr>
          <w:rStyle w:val="Inget"/>
          <w:color w:val="auto"/>
          <w:sz w:val="20"/>
          <w:szCs w:val="20"/>
        </w:rPr>
        <w:t xml:space="preserve"> development </w:t>
      </w:r>
      <w:r w:rsidRPr="003E6972">
        <w:rPr>
          <w:rStyle w:val="Inget"/>
          <w:sz w:val="20"/>
          <w:szCs w:val="20"/>
        </w:rPr>
        <w:t>of strategies for identifying and assessing sites contaminated by mercury or mercury compounds and, as appropriate, the remediation of those sites;</w:t>
      </w:r>
    </w:p>
    <w:p w14:paraId="1ABFA727" w14:textId="77777777" w:rsidR="004D2252" w:rsidRPr="003E6972" w:rsidRDefault="004D2252" w:rsidP="009F0ECA">
      <w:pPr>
        <w:pStyle w:val="Brdtext"/>
        <w:numPr>
          <w:ilvl w:val="1"/>
          <w:numId w:val="16"/>
        </w:numPr>
        <w:pBdr>
          <w:top w:val="none" w:sz="0" w:space="0" w:color="auto"/>
          <w:left w:val="none" w:sz="0" w:space="0" w:color="auto"/>
          <w:bottom w:val="none" w:sz="0" w:space="0" w:color="auto"/>
          <w:right w:val="none" w:sz="0" w:space="0" w:color="auto"/>
          <w:bar w:val="none" w:sz="0" w:color="auto"/>
        </w:pBdr>
        <w:tabs>
          <w:tab w:val="clear" w:pos="2381"/>
          <w:tab w:val="left" w:pos="624"/>
          <w:tab w:val="left" w:pos="1871"/>
          <w:tab w:val="left" w:pos="3119"/>
        </w:tabs>
        <w:spacing w:after="120"/>
        <w:rPr>
          <w:rStyle w:val="Inget"/>
          <w:sz w:val="20"/>
          <w:szCs w:val="20"/>
        </w:rPr>
      </w:pPr>
      <w:r w:rsidRPr="003E6972">
        <w:rPr>
          <w:rStyle w:val="Inget"/>
          <w:sz w:val="20"/>
          <w:szCs w:val="20"/>
        </w:rPr>
        <w:t>Information exchange;</w:t>
      </w:r>
    </w:p>
    <w:p w14:paraId="457C3BD0" w14:textId="77777777" w:rsidR="004D2252" w:rsidRPr="003E6972" w:rsidRDefault="004D2252" w:rsidP="009F0ECA">
      <w:pPr>
        <w:pStyle w:val="Brdtext"/>
        <w:numPr>
          <w:ilvl w:val="1"/>
          <w:numId w:val="16"/>
        </w:numPr>
        <w:pBdr>
          <w:top w:val="none" w:sz="0" w:space="0" w:color="auto"/>
          <w:left w:val="none" w:sz="0" w:space="0" w:color="auto"/>
          <w:bottom w:val="none" w:sz="0" w:space="0" w:color="auto"/>
          <w:right w:val="none" w:sz="0" w:space="0" w:color="auto"/>
          <w:bar w:val="none" w:sz="0" w:color="auto"/>
        </w:pBdr>
        <w:tabs>
          <w:tab w:val="clear" w:pos="2381"/>
          <w:tab w:val="left" w:pos="624"/>
          <w:tab w:val="left" w:pos="1871"/>
          <w:tab w:val="left" w:pos="3119"/>
        </w:tabs>
        <w:spacing w:after="120"/>
        <w:rPr>
          <w:rStyle w:val="Inget"/>
          <w:sz w:val="20"/>
          <w:szCs w:val="20"/>
        </w:rPr>
      </w:pPr>
      <w:r w:rsidRPr="003E6972">
        <w:rPr>
          <w:rStyle w:val="Inget"/>
          <w:sz w:val="20"/>
          <w:szCs w:val="20"/>
        </w:rPr>
        <w:t>Public information, awareness and education;</w:t>
      </w:r>
    </w:p>
    <w:p w14:paraId="4A0F80B1" w14:textId="77777777" w:rsidR="004D2252" w:rsidRPr="003E6972" w:rsidRDefault="004D2252" w:rsidP="009F0ECA">
      <w:pPr>
        <w:pStyle w:val="Brdtext"/>
        <w:numPr>
          <w:ilvl w:val="1"/>
          <w:numId w:val="16"/>
        </w:numPr>
        <w:pBdr>
          <w:top w:val="none" w:sz="0" w:space="0" w:color="auto"/>
          <w:left w:val="none" w:sz="0" w:space="0" w:color="auto"/>
          <w:bottom w:val="none" w:sz="0" w:space="0" w:color="auto"/>
          <w:right w:val="none" w:sz="0" w:space="0" w:color="auto"/>
          <w:bar w:val="none" w:sz="0" w:color="auto"/>
        </w:pBdr>
        <w:tabs>
          <w:tab w:val="clear" w:pos="2381"/>
          <w:tab w:val="left" w:pos="624"/>
          <w:tab w:val="left" w:pos="1871"/>
          <w:tab w:val="left" w:pos="3119"/>
        </w:tabs>
        <w:spacing w:after="120"/>
        <w:rPr>
          <w:rStyle w:val="Inget"/>
          <w:sz w:val="20"/>
          <w:szCs w:val="20"/>
        </w:rPr>
      </w:pPr>
      <w:r w:rsidRPr="003E6972">
        <w:rPr>
          <w:rStyle w:val="Inget"/>
          <w:sz w:val="20"/>
          <w:szCs w:val="20"/>
        </w:rPr>
        <w:lastRenderedPageBreak/>
        <w:t>Cooperation in the</w:t>
      </w:r>
      <w:r w:rsidRPr="003E6972">
        <w:rPr>
          <w:rStyle w:val="Inget"/>
          <w:color w:val="auto"/>
          <w:sz w:val="20"/>
          <w:szCs w:val="20"/>
        </w:rPr>
        <w:t xml:space="preserve"> development </w:t>
      </w:r>
      <w:r w:rsidRPr="003E6972">
        <w:rPr>
          <w:rStyle w:val="Inget"/>
          <w:sz w:val="20"/>
          <w:szCs w:val="20"/>
        </w:rPr>
        <w:t>and improvement of research</w:t>
      </w:r>
      <w:r w:rsidRPr="003E6972">
        <w:rPr>
          <w:rStyle w:val="Inget"/>
          <w:color w:val="auto"/>
          <w:sz w:val="20"/>
          <w:szCs w:val="20"/>
        </w:rPr>
        <w:t xml:space="preserve">, development </w:t>
      </w:r>
      <w:r w:rsidRPr="003E6972">
        <w:rPr>
          <w:rStyle w:val="Inget"/>
          <w:sz w:val="20"/>
          <w:szCs w:val="20"/>
        </w:rPr>
        <w:t>and monitoring;</w:t>
      </w:r>
    </w:p>
    <w:p w14:paraId="4FC8CFE1" w14:textId="77777777" w:rsidR="004D2252" w:rsidRPr="003E6972" w:rsidRDefault="004D2252" w:rsidP="009F0ECA">
      <w:pPr>
        <w:pStyle w:val="Brdtext"/>
        <w:numPr>
          <w:ilvl w:val="1"/>
          <w:numId w:val="16"/>
        </w:numPr>
        <w:pBdr>
          <w:top w:val="none" w:sz="0" w:space="0" w:color="auto"/>
          <w:left w:val="none" w:sz="0" w:space="0" w:color="auto"/>
          <w:bottom w:val="none" w:sz="0" w:space="0" w:color="auto"/>
          <w:right w:val="none" w:sz="0" w:space="0" w:color="auto"/>
          <w:bar w:val="none" w:sz="0" w:color="auto"/>
        </w:pBdr>
        <w:tabs>
          <w:tab w:val="clear" w:pos="2381"/>
          <w:tab w:val="left" w:pos="624"/>
          <w:tab w:val="left" w:pos="1871"/>
          <w:tab w:val="left" w:pos="3119"/>
        </w:tabs>
        <w:spacing w:after="120"/>
        <w:rPr>
          <w:rStyle w:val="Inget"/>
          <w:sz w:val="20"/>
          <w:szCs w:val="20"/>
        </w:rPr>
      </w:pPr>
      <w:r w:rsidRPr="003E6972">
        <w:rPr>
          <w:rStyle w:val="Inget"/>
          <w:sz w:val="20"/>
          <w:szCs w:val="20"/>
        </w:rPr>
        <w:t>Development of implementation plans following initial assessments.</w:t>
      </w:r>
    </w:p>
    <w:p w14:paraId="65DBD2D0" w14:textId="77777777" w:rsidR="004D2252" w:rsidRPr="003E6972" w:rsidRDefault="004D2252" w:rsidP="004D2252">
      <w:pPr>
        <w:pStyle w:val="CH3"/>
        <w:rPr>
          <w:rStyle w:val="Inget"/>
          <w:b w:val="0"/>
          <w:bCs/>
        </w:rPr>
      </w:pPr>
      <w:r w:rsidRPr="003E6972">
        <w:rPr>
          <w:rFonts w:cs="Arial Unicode MS"/>
        </w:rPr>
        <w:tab/>
        <w:t>3.</w:t>
      </w:r>
      <w:r w:rsidRPr="003E6972">
        <w:rPr>
          <w:rFonts w:cs="Arial Unicode MS"/>
        </w:rPr>
        <w:tab/>
        <w:t>Activities to implement the provisions of the Convention that allow for the reduction of mercury emissions and releases and address both the health and environmental impacts of mercury</w:t>
      </w:r>
    </w:p>
    <w:p w14:paraId="3D335ADE" w14:textId="77777777" w:rsidR="004D2252" w:rsidRPr="003E6972" w:rsidRDefault="004D2252" w:rsidP="009F0ECA">
      <w:pPr>
        <w:pStyle w:val="Brdtext"/>
        <w:numPr>
          <w:ilvl w:val="0"/>
          <w:numId w:val="14"/>
        </w:numPr>
        <w:pBdr>
          <w:top w:val="none" w:sz="0" w:space="0" w:color="auto"/>
          <w:left w:val="none" w:sz="0" w:space="0" w:color="auto"/>
          <w:bottom w:val="none" w:sz="0" w:space="0" w:color="auto"/>
          <w:right w:val="none" w:sz="0" w:space="0" w:color="auto"/>
          <w:bar w:val="none" w:sz="0" w:color="auto"/>
        </w:pBdr>
        <w:tabs>
          <w:tab w:val="clear" w:pos="1814"/>
          <w:tab w:val="left" w:pos="624"/>
          <w:tab w:val="left" w:pos="3119"/>
          <w:tab w:val="left" w:pos="4082"/>
        </w:tabs>
        <w:spacing w:after="120"/>
        <w:rPr>
          <w:rStyle w:val="Inget"/>
          <w:sz w:val="20"/>
          <w:szCs w:val="20"/>
        </w:rPr>
      </w:pPr>
      <w:r w:rsidRPr="003E6972">
        <w:rPr>
          <w:rStyle w:val="Inget"/>
          <w:sz w:val="20"/>
          <w:szCs w:val="20"/>
        </w:rPr>
        <w:t>Activities to implement</w:t>
      </w:r>
      <w:r w:rsidRPr="003E6972">
        <w:rPr>
          <w:rStyle w:val="Inget"/>
          <w:color w:val="auto"/>
          <w:sz w:val="20"/>
          <w:szCs w:val="20"/>
        </w:rPr>
        <w:t xml:space="preserve"> the provisions of </w:t>
      </w:r>
      <w:r w:rsidRPr="003E6972">
        <w:rPr>
          <w:rStyle w:val="Inget"/>
          <w:sz w:val="20"/>
          <w:szCs w:val="20"/>
        </w:rPr>
        <w:t>the</w:t>
      </w:r>
      <w:r w:rsidRPr="003E6972">
        <w:rPr>
          <w:rStyle w:val="Inget"/>
          <w:color w:val="auto"/>
          <w:sz w:val="20"/>
          <w:szCs w:val="20"/>
        </w:rPr>
        <w:t xml:space="preserve"> Convention </w:t>
      </w:r>
      <w:r w:rsidRPr="003E6972">
        <w:rPr>
          <w:rStyle w:val="Inget"/>
          <w:sz w:val="20"/>
          <w:szCs w:val="20"/>
        </w:rPr>
        <w:t>that</w:t>
      </w:r>
      <w:r w:rsidRPr="003E6972">
        <w:rPr>
          <w:rStyle w:val="Inget"/>
          <w:color w:val="auto"/>
          <w:sz w:val="20"/>
          <w:szCs w:val="20"/>
        </w:rPr>
        <w:t xml:space="preserve"> allow </w:t>
      </w:r>
      <w:r w:rsidRPr="003E6972">
        <w:rPr>
          <w:rStyle w:val="Inget"/>
          <w:sz w:val="20"/>
          <w:szCs w:val="20"/>
        </w:rPr>
        <w:t>for the reduction of mercury emissions and releases and address both the health and environmental impacts of mercury</w:t>
      </w:r>
      <w:r w:rsidRPr="003E6972">
        <w:rPr>
          <w:rStyle w:val="Inget"/>
          <w:color w:val="auto"/>
          <w:sz w:val="20"/>
          <w:szCs w:val="20"/>
        </w:rPr>
        <w:t xml:space="preserve"> may </w:t>
      </w:r>
      <w:r w:rsidRPr="003E6972">
        <w:rPr>
          <w:rStyle w:val="Inget"/>
          <w:sz w:val="20"/>
          <w:szCs w:val="20"/>
        </w:rPr>
        <w:t>encompass activities relating to both binding and non-binding provisions, with priority accorded to the</w:t>
      </w:r>
      <w:r w:rsidRPr="003E6972">
        <w:rPr>
          <w:rStyle w:val="Inget"/>
          <w:color w:val="auto"/>
          <w:sz w:val="20"/>
          <w:szCs w:val="20"/>
        </w:rPr>
        <w:t xml:space="preserve"> legally binding </w:t>
      </w:r>
      <w:r w:rsidRPr="003E6972">
        <w:rPr>
          <w:rStyle w:val="Inget"/>
          <w:sz w:val="20"/>
          <w:szCs w:val="20"/>
        </w:rPr>
        <w:t>provisions discussed above, that accord with the</w:t>
      </w:r>
      <w:r w:rsidRPr="003E6972">
        <w:rPr>
          <w:rStyle w:val="Inget"/>
          <w:color w:val="auto"/>
          <w:sz w:val="20"/>
          <w:szCs w:val="20"/>
        </w:rPr>
        <w:t xml:space="preserve"> GEF </w:t>
      </w:r>
      <w:r w:rsidRPr="003E6972">
        <w:rPr>
          <w:rStyle w:val="Inget"/>
          <w:sz w:val="20"/>
          <w:szCs w:val="20"/>
        </w:rPr>
        <w:t>mandate to deliver global environmental benefits and reflect the</w:t>
      </w:r>
      <w:r w:rsidRPr="003E6972">
        <w:rPr>
          <w:rStyle w:val="Inget"/>
          <w:color w:val="auto"/>
          <w:sz w:val="20"/>
          <w:szCs w:val="20"/>
        </w:rPr>
        <w:t xml:space="preserve"> GEF </w:t>
      </w:r>
      <w:r w:rsidRPr="003E6972">
        <w:rPr>
          <w:rStyle w:val="Inget"/>
          <w:sz w:val="20"/>
          <w:szCs w:val="20"/>
        </w:rPr>
        <w:t>chemicals and waste focal area strategy.</w:t>
      </w:r>
    </w:p>
    <w:p w14:paraId="7631C04D" w14:textId="77777777" w:rsidR="004D2252" w:rsidRPr="003E6972" w:rsidRDefault="004D2252" w:rsidP="004D2252">
      <w:pPr>
        <w:pStyle w:val="CH1"/>
        <w:rPr>
          <w:rStyle w:val="Inget"/>
          <w:b w:val="0"/>
          <w:bCs/>
        </w:rPr>
      </w:pPr>
      <w:r w:rsidRPr="003E6972">
        <w:rPr>
          <w:rFonts w:cs="Arial Unicode MS"/>
        </w:rPr>
        <w:tab/>
        <w:t>V.</w:t>
      </w:r>
      <w:r w:rsidRPr="003E6972">
        <w:rPr>
          <w:rFonts w:cs="Arial Unicode MS"/>
        </w:rPr>
        <w:tab/>
        <w:t>Review by the Conference of the Parties</w:t>
      </w:r>
    </w:p>
    <w:p w14:paraId="6DAB3904" w14:textId="77777777" w:rsidR="004D2252" w:rsidRPr="003E6972" w:rsidRDefault="004D2252" w:rsidP="004D2252">
      <w:pPr>
        <w:pStyle w:val="Normal-pool"/>
        <w:tabs>
          <w:tab w:val="clear" w:pos="1814"/>
          <w:tab w:val="clear" w:pos="2381"/>
          <w:tab w:val="left" w:pos="1843"/>
          <w:tab w:val="left" w:pos="2127"/>
        </w:tabs>
        <w:spacing w:after="120"/>
        <w:ind w:left="1276"/>
        <w:rPr>
          <w:rStyle w:val="Inget"/>
          <w:b/>
          <w:szCs w:val="28"/>
        </w:rPr>
      </w:pPr>
      <w:r w:rsidRPr="003E6972">
        <w:rPr>
          <w:rStyle w:val="Inget"/>
        </w:rPr>
        <w:t>13.</w:t>
      </w:r>
      <w:r w:rsidRPr="003E6972">
        <w:rPr>
          <w:rStyle w:val="Inget"/>
        </w:rPr>
        <w:tab/>
        <w:t xml:space="preserve">In accordance with paragraph 11 of article 13, the Conference of the Parties will review, no later than at its third meeting, and thereafter on a regular basis, the level of funding, the guidance provided by the Conference of the Parties to GEF as one of the entities entrusted with operationalizing the mechanism established under article 13 and the mechanism’s effectiveness and ability to address the changing needs of developing-country parties and parties with economies in transition. </w:t>
      </w:r>
      <w:proofErr w:type="gramStart"/>
      <w:r w:rsidRPr="003E6972">
        <w:rPr>
          <w:rStyle w:val="Inget"/>
        </w:rPr>
        <w:t>On the basis of</w:t>
      </w:r>
      <w:proofErr w:type="gramEnd"/>
      <w:r w:rsidRPr="003E6972">
        <w:rPr>
          <w:rStyle w:val="Inget"/>
        </w:rPr>
        <w:t xml:space="preserve"> such review, the Conference of the Parties will take appropriate action to improve the effectiveness of the financial mechanism, including by updating and prioritizing as necessary its guidance to GEF.</w:t>
      </w:r>
    </w:p>
    <w:p w14:paraId="74A2DEE9" w14:textId="5CB72FC9" w:rsidR="003F4DA7" w:rsidRPr="00711DBB" w:rsidRDefault="003F4DA7" w:rsidP="004D2252">
      <w:pPr>
        <w:pStyle w:val="CH2"/>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810B" w14:textId="77777777" w:rsidR="009F0ECA" w:rsidRDefault="009F0ECA">
      <w:r>
        <w:separator/>
      </w:r>
    </w:p>
  </w:endnote>
  <w:endnote w:type="continuationSeparator" w:id="0">
    <w:p w14:paraId="4E583773" w14:textId="77777777" w:rsidR="009F0ECA" w:rsidRDefault="009F0ECA">
      <w:r>
        <w:continuationSeparator/>
      </w:r>
    </w:p>
  </w:endnote>
  <w:endnote w:type="continuationNotice" w:id="1">
    <w:p w14:paraId="180B9AB6" w14:textId="77777777" w:rsidR="009F0ECA" w:rsidRDefault="009F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EBF8" w14:textId="77777777" w:rsidR="009F0ECA" w:rsidRPr="008D1ED6" w:rsidRDefault="009F0ECA"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32BB11DA" w14:textId="77777777" w:rsidR="009F0ECA" w:rsidRDefault="009F0ECA">
      <w:r>
        <w:continuationSeparator/>
      </w:r>
    </w:p>
  </w:footnote>
  <w:footnote w:type="continuationNotice" w:id="1">
    <w:p w14:paraId="5CD3E8A7" w14:textId="77777777" w:rsidR="009F0ECA" w:rsidRDefault="009F0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2DA7C7D"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w:t>
    </w:r>
    <w:r w:rsidR="005019F1">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0811FFE7"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5019F1">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1FDC8C1F"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5019F1">
      <w:rPr>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39D317B"/>
    <w:multiLevelType w:val="hybridMultilevel"/>
    <w:tmpl w:val="0D4C8D38"/>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5FE34526"/>
    <w:multiLevelType w:val="hybridMultilevel"/>
    <w:tmpl w:val="FB0485AE"/>
    <w:numStyleLink w:val="Normallist"/>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2"/>
  </w:num>
  <w:num w:numId="3">
    <w:abstractNumId w:val="7"/>
  </w:num>
  <w:num w:numId="4">
    <w:abstractNumId w:val="1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6"/>
  </w:num>
  <w:num w:numId="6">
    <w:abstractNumId w:val="0"/>
  </w:num>
  <w:num w:numId="7">
    <w:abstractNumId w:val="4"/>
  </w:num>
  <w:num w:numId="8">
    <w:abstractNumId w:val="8"/>
  </w:num>
  <w:num w:numId="9">
    <w:abstractNumId w:val="3"/>
  </w:num>
  <w:num w:numId="10">
    <w:abstractNumId w:val="10"/>
  </w:num>
  <w:num w:numId="11">
    <w:abstractNumId w:val="1"/>
  </w:num>
  <w:num w:numId="12">
    <w:abstractNumId w:val="13"/>
  </w:num>
  <w:num w:numId="13">
    <w:abstractNumId w:val="9"/>
  </w:num>
  <w:num w:numId="14">
    <w:abstractNumId w:val="12"/>
    <w:lvlOverride w:ilvl="0">
      <w:startOverride w:val="1"/>
      <w:lvl w:ilvl="0" w:tplc="6038B754">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E8880D2">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8E9A27BC">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3346A22">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2BA6E40E">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162DDE6">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53CC2C62">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1F6F4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A2A0AD8">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5">
    <w:abstractNumId w:val="12"/>
    <w:lvlOverride w:ilvl="0">
      <w:startOverride w:val="10"/>
      <w:lvl w:ilvl="0" w:tplc="6038B754">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E8880D2">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8E9A27BC">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3346A22">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2BA6E40E">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162DDE6">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53CC2C62">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1F6F4B8">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A2A0AD8">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6">
    <w:abstractNumId w:val="12"/>
    <w:lvlOverride w:ilvl="0">
      <w:lvl w:ilvl="0" w:tplc="6038B754">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E8880D2">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8E9A27BC">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3346A22">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2BA6E40E">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A162DDE6">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53CC2C62">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31F6F4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A2A0AD8">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5DC9"/>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2252"/>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19F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0ECA"/>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17AF5"/>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29B6"/>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 w:type="character" w:customStyle="1" w:styleId="Inget">
    <w:name w:val="Inget"/>
    <w:rsid w:val="004D2252"/>
  </w:style>
  <w:style w:type="paragraph" w:customStyle="1" w:styleId="Brdtext">
    <w:name w:val="Brödtext"/>
    <w:rsid w:val="004D225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D0735-86E8-4D93-885D-DE8F6001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4</Pages>
  <Words>1347</Words>
  <Characters>7509</Characters>
  <Application>Microsoft Office Word</Application>
  <DocSecurity>0</DocSecurity>
  <Lines>220</Lines>
  <Paragraphs>113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8743</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21</cp:revision>
  <cp:lastPrinted>2020-05-15T11:26:00Z</cp:lastPrinted>
  <dcterms:created xsi:type="dcterms:W3CDTF">2020-10-15T16:27:00Z</dcterms:created>
  <dcterms:modified xsi:type="dcterms:W3CDTF">2020-10-29T13:02:00Z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