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7AF1329E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3365AD">
              <w:t>4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7EAB3B72" w14:textId="77777777" w:rsidR="003365AD" w:rsidRPr="001932F8" w:rsidRDefault="003365AD" w:rsidP="003365AD">
      <w:pPr>
        <w:pStyle w:val="Heading1"/>
      </w:pPr>
      <w:r w:rsidRPr="001932F8">
        <w:tab/>
      </w:r>
      <w:bookmarkStart w:id="1" w:name="_Toc505761130"/>
      <w:r>
        <w:t>MC</w:t>
      </w:r>
      <w:r w:rsidRPr="001932F8">
        <w:t>-1/4: Directrices en rela</w:t>
      </w:r>
      <w:bookmarkStart w:id="2" w:name="_GoBack"/>
      <w:bookmarkEnd w:id="2"/>
      <w:r w:rsidRPr="001932F8">
        <w:t>ción con las emisiones de mercurio</w:t>
      </w:r>
      <w:bookmarkEnd w:id="1"/>
      <w:r w:rsidRPr="001932F8">
        <w:t xml:space="preserve"> </w:t>
      </w:r>
    </w:p>
    <w:p w14:paraId="0A147DA7" w14:textId="77777777" w:rsidR="003365AD" w:rsidRDefault="003365AD" w:rsidP="003365AD">
      <w:pPr>
        <w:pStyle w:val="NormalNonumber"/>
        <w:tabs>
          <w:tab w:val="left" w:pos="624"/>
        </w:tabs>
        <w:ind w:firstLine="624"/>
        <w:rPr>
          <w:i/>
          <w:lang w:val="es-ES"/>
        </w:rPr>
      </w:pPr>
      <w:r w:rsidRPr="001932F8">
        <w:rPr>
          <w:i/>
          <w:lang w:val="es-ES"/>
        </w:rPr>
        <w:t>La Conferencia de las Partes,</w:t>
      </w:r>
    </w:p>
    <w:p w14:paraId="4F251F3F" w14:textId="77777777" w:rsidR="003365AD" w:rsidRPr="00644C07" w:rsidRDefault="003365AD" w:rsidP="003365AD">
      <w:pPr>
        <w:pStyle w:val="NormalNonumber"/>
        <w:tabs>
          <w:tab w:val="left" w:pos="624"/>
        </w:tabs>
        <w:ind w:firstLine="624"/>
        <w:jc w:val="center"/>
        <w:rPr>
          <w:b/>
          <w:lang w:val="es-ES"/>
        </w:rPr>
      </w:pPr>
      <w:r w:rsidRPr="00644C07">
        <w:rPr>
          <w:b/>
          <w:iCs/>
          <w:lang w:val="es-ES"/>
        </w:rPr>
        <w:t>I</w:t>
      </w:r>
    </w:p>
    <w:p w14:paraId="5E2C9AD6" w14:textId="77777777" w:rsidR="003365AD" w:rsidRPr="001932F8" w:rsidRDefault="003365AD" w:rsidP="003365A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lang w:val="es-ES"/>
        </w:rPr>
        <w:t>Reconociendo</w:t>
      </w:r>
      <w:r w:rsidRPr="001932F8">
        <w:rPr>
          <w:lang w:val="es-ES"/>
        </w:rPr>
        <w:t xml:space="preserve"> la importancia del control de las emisiones de mercurio para cumplir los objetivos del Convenio de Minamata sobre el Mercurio,</w:t>
      </w:r>
    </w:p>
    <w:p w14:paraId="703CF39C" w14:textId="77777777" w:rsidR="003365AD" w:rsidRDefault="003365AD" w:rsidP="003365A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lang w:val="es-ES"/>
        </w:rPr>
        <w:t>Decide</w:t>
      </w:r>
      <w:r w:rsidRPr="001932F8">
        <w:rPr>
          <w:lang w:val="es-ES"/>
        </w:rPr>
        <w:t xml:space="preserve"> aprobar las directrices a que se hace referencia en el artículo 8, en particular sus párrafos 8 a) y b), sobre las mejores técnicas disponibles y las mejores prácticas ambientales, teniendo en cuenta las posibles diferencias entre las fuentes nuevas y las existentes, así como la necesidad de reducir al mínimo los efectos cruzados entre los distintos medios, y sobre la prestación de apoyo a las Partes en la aplicación de las medidas que figuran en el párrafo 5, especialmente en la determinación de los objetivos y el establecimiento de valores límite de emisión, propuestas por el Comité Intergubernamental de Negociación, a fin de preparar un instrumento jurídicamente vinculante sobre el mercurio</w:t>
      </w:r>
      <w:r w:rsidRPr="001932F8">
        <w:rPr>
          <w:rStyle w:val="FootnoteReference"/>
          <w:lang w:val="es-ES"/>
        </w:rPr>
        <w:footnoteReference w:id="2"/>
      </w:r>
      <w:r w:rsidRPr="001932F8">
        <w:rPr>
          <w:lang w:val="es-ES"/>
        </w:rPr>
        <w:t>;</w:t>
      </w:r>
    </w:p>
    <w:p w14:paraId="6D5A88C7" w14:textId="77777777" w:rsidR="003365AD" w:rsidRPr="00644C07" w:rsidRDefault="003365AD" w:rsidP="003365AD">
      <w:pPr>
        <w:pStyle w:val="NormalNonumber"/>
        <w:tabs>
          <w:tab w:val="left" w:pos="624"/>
        </w:tabs>
        <w:ind w:firstLine="624"/>
        <w:jc w:val="center"/>
        <w:rPr>
          <w:b/>
          <w:lang w:val="es-ES"/>
        </w:rPr>
      </w:pPr>
      <w:r w:rsidRPr="00644C07">
        <w:rPr>
          <w:b/>
          <w:iCs/>
          <w:lang w:val="es-ES"/>
        </w:rPr>
        <w:t>II</w:t>
      </w:r>
    </w:p>
    <w:p w14:paraId="453E23B8" w14:textId="77777777" w:rsidR="003365AD" w:rsidRPr="001932F8" w:rsidRDefault="003365AD" w:rsidP="003365A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lang w:val="es-ES"/>
        </w:rPr>
        <w:t>Reconociendo también</w:t>
      </w:r>
      <w:r w:rsidRPr="001932F8">
        <w:rPr>
          <w:lang w:val="es-ES"/>
        </w:rPr>
        <w:t xml:space="preserve"> que algunas de las medidas de fiscalización descritas en las presentes directrices pueden no estar a disposición de todas las Partes por razones técnicas o económicas,</w:t>
      </w:r>
    </w:p>
    <w:p w14:paraId="7BED1332" w14:textId="77777777" w:rsidR="003365AD" w:rsidRPr="001932F8" w:rsidRDefault="003365AD" w:rsidP="003365A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lang w:val="es-ES"/>
        </w:rPr>
        <w:t>Observando</w:t>
      </w:r>
      <w:r w:rsidRPr="001932F8">
        <w:rPr>
          <w:lang w:val="es-ES"/>
        </w:rPr>
        <w:t xml:space="preserve"> que en el párrafo 10 del artículo 8 del Convenio se insta a la Conferencia de las Partes a mantener en examen, y actualizar según proceda, las directrices con el fin de reflejar cualesquiera circunstancias que no queden plenamente recogidas en ellas,</w:t>
      </w:r>
    </w:p>
    <w:p w14:paraId="51065EB2" w14:textId="77777777" w:rsidR="003365AD" w:rsidRPr="001932F8" w:rsidRDefault="003365AD" w:rsidP="003365AD">
      <w:pPr>
        <w:pStyle w:val="NormalNonumber"/>
        <w:tabs>
          <w:tab w:val="left" w:pos="624"/>
        </w:tabs>
        <w:ind w:firstLine="624"/>
        <w:rPr>
          <w:lang w:val="es-ES"/>
        </w:rPr>
      </w:pPr>
      <w:r w:rsidRPr="001932F8">
        <w:rPr>
          <w:i/>
          <w:lang w:val="es-ES"/>
        </w:rPr>
        <w:t xml:space="preserve">Solicita </w:t>
      </w:r>
      <w:r w:rsidRPr="001932F8">
        <w:rPr>
          <w:lang w:val="es-ES"/>
        </w:rPr>
        <w:t>a las Partes que tengan experiencia en la utilización de ese tipo de directrices que proporcionen a la Secretaría información sobre esa experiencia, y a la Secretaría que recopile esa información y, en consulta con las Partes y otros interesados, actualice las directrices según sea necesario.</w:t>
      </w:r>
    </w:p>
    <w:p w14:paraId="533807B3" w14:textId="7C6BC47A" w:rsidR="009E64B0" w:rsidRPr="003365AD" w:rsidRDefault="003365AD" w:rsidP="003365AD">
      <w:pPr>
        <w:pStyle w:val="Normalnumber"/>
        <w:tabs>
          <w:tab w:val="clear" w:pos="624"/>
        </w:tabs>
        <w:rPr>
          <w:lang w:val="es-ES"/>
        </w:rPr>
      </w:pPr>
      <w:r w:rsidRPr="003365AD">
        <w:rPr>
          <w:lang w:val="es-ES"/>
        </w:rPr>
        <w:tab/>
      </w:r>
    </w:p>
    <w:sectPr w:rsidR="009E64B0" w:rsidRPr="003365AD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87C4" w14:textId="77777777" w:rsidR="00704947" w:rsidRDefault="00704947">
      <w:r>
        <w:separator/>
      </w:r>
    </w:p>
  </w:endnote>
  <w:endnote w:type="continuationSeparator" w:id="0">
    <w:p w14:paraId="5334F2A7" w14:textId="77777777" w:rsidR="00704947" w:rsidRDefault="00704947">
      <w:r>
        <w:continuationSeparator/>
      </w:r>
    </w:p>
  </w:endnote>
  <w:endnote w:type="continuationNotice" w:id="1">
    <w:p w14:paraId="0F283CDE" w14:textId="77777777" w:rsidR="00704947" w:rsidRDefault="00704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8C4E" w14:textId="77777777" w:rsidR="00704947" w:rsidRPr="008D1ED6" w:rsidRDefault="00704947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3B138B9B" w14:textId="77777777" w:rsidR="00704947" w:rsidRDefault="00704947">
      <w:r>
        <w:continuationSeparator/>
      </w:r>
    </w:p>
  </w:footnote>
  <w:footnote w:type="continuationNotice" w:id="1">
    <w:p w14:paraId="53629569" w14:textId="77777777" w:rsidR="00704947" w:rsidRDefault="00704947"/>
  </w:footnote>
  <w:footnote w:id="2">
    <w:p w14:paraId="4D5D7926" w14:textId="77777777" w:rsidR="003365AD" w:rsidRPr="00114C9F" w:rsidRDefault="003365AD" w:rsidP="003365AD">
      <w:pPr>
        <w:pStyle w:val="FootnoteText"/>
        <w:rPr>
          <w:lang w:val="es-ES"/>
        </w:rPr>
      </w:pPr>
      <w:r w:rsidRPr="00114C9F">
        <w:rPr>
          <w:rStyle w:val="FootnoteReference"/>
          <w:lang w:val="es-ES"/>
        </w:rPr>
        <w:footnoteRef/>
      </w:r>
      <w:r w:rsidRPr="00114C9F">
        <w:rPr>
          <w:lang w:val="es-ES"/>
        </w:rPr>
        <w:t xml:space="preserve"> </w:t>
      </w:r>
      <w:r w:rsidRPr="003365AD">
        <w:rPr>
          <w:rStyle w:val="DeltaViewInsertion"/>
          <w:color w:val="000000" w:themeColor="text1"/>
          <w:szCs w:val="18"/>
          <w:u w:val="none"/>
          <w:lang w:val="es-ES"/>
        </w:rPr>
        <w:t>UNEP/MC/COP.1/7, anexos II y 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48938BB9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5C24E5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5057F525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3365AD">
      <w:rPr>
        <w:szCs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07B52"/>
    <w:multiLevelType w:val="hybridMultilevel"/>
    <w:tmpl w:val="7434837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0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1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5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9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370798"/>
    <w:multiLevelType w:val="hybridMultilevel"/>
    <w:tmpl w:val="18D045F8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7"/>
  </w:num>
  <w:num w:numId="4">
    <w:abstractNumId w:val="25"/>
  </w:num>
  <w:num w:numId="5">
    <w:abstractNumId w:val="1"/>
  </w:num>
  <w:num w:numId="6">
    <w:abstractNumId w:val="18"/>
  </w:num>
  <w:num w:numId="7">
    <w:abstractNumId w:val="30"/>
  </w:num>
  <w:num w:numId="8">
    <w:abstractNumId w:val="16"/>
  </w:num>
  <w:num w:numId="9">
    <w:abstractNumId w:val="35"/>
  </w:num>
  <w:num w:numId="10">
    <w:abstractNumId w:val="2"/>
  </w:num>
  <w:num w:numId="11">
    <w:abstractNumId w:val="14"/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55"/>
  </w:num>
  <w:num w:numId="15">
    <w:abstractNumId w:val="29"/>
  </w:num>
  <w:num w:numId="16">
    <w:abstractNumId w:val="49"/>
  </w:num>
  <w:num w:numId="17">
    <w:abstractNumId w:val="63"/>
  </w:num>
  <w:num w:numId="18">
    <w:abstractNumId w:val="32"/>
  </w:num>
  <w:num w:numId="19">
    <w:abstractNumId w:val="24"/>
  </w:num>
  <w:num w:numId="20">
    <w:abstractNumId w:val="9"/>
  </w:num>
  <w:num w:numId="21">
    <w:abstractNumId w:val="43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26"/>
  </w:num>
  <w:num w:numId="26">
    <w:abstractNumId w:val="37"/>
  </w:num>
  <w:num w:numId="27">
    <w:abstractNumId w:val="39"/>
  </w:num>
  <w:num w:numId="28">
    <w:abstractNumId w:val="38"/>
  </w:num>
  <w:num w:numId="29">
    <w:abstractNumId w:val="45"/>
  </w:num>
  <w:num w:numId="30">
    <w:abstractNumId w:val="46"/>
  </w:num>
  <w:num w:numId="31">
    <w:abstractNumId w:val="22"/>
  </w:num>
  <w:num w:numId="32">
    <w:abstractNumId w:val="5"/>
  </w:num>
  <w:num w:numId="33">
    <w:abstractNumId w:val="34"/>
  </w:num>
  <w:num w:numId="34">
    <w:abstractNumId w:val="15"/>
  </w:num>
  <w:num w:numId="35">
    <w:abstractNumId w:val="21"/>
  </w:num>
  <w:num w:numId="36">
    <w:abstractNumId w:val="33"/>
  </w:num>
  <w:num w:numId="37">
    <w:abstractNumId w:val="3"/>
  </w:num>
  <w:num w:numId="38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6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8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40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10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50"/>
  </w:num>
  <w:num w:numId="50">
    <w:abstractNumId w:val="48"/>
  </w:num>
  <w:num w:numId="51">
    <w:abstractNumId w:val="14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1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3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1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6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1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7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3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7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2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9"/>
  </w:num>
  <w:num w:numId="66">
    <w:abstractNumId w:val="59"/>
  </w:num>
  <w:num w:numId="67">
    <w:abstractNumId w:val="52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6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4"/>
  </w:num>
  <w:num w:numId="71">
    <w:abstractNumId w:val="7"/>
  </w:num>
  <w:num w:numId="72">
    <w:abstractNumId w:val="6"/>
  </w:num>
  <w:num w:numId="73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4947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E8944-1177-4EF7-85E6-5BBB54D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2021-01-14T11:25:00Z</dcterms:created>
  <dcterms:modified xsi:type="dcterms:W3CDTF">2021-01-14T11:26:00Z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