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8923634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AC5917">
              <w:rPr>
                <w:lang w:val="en-GB"/>
              </w:rPr>
              <w:t>2</w:t>
            </w:r>
            <w:r w:rsidR="00455CAD">
              <w:rPr>
                <w:lang w:val="en-GB"/>
              </w:rPr>
              <w:t>1</w:t>
            </w:r>
          </w:p>
        </w:tc>
      </w:tr>
      <w:tr w:rsidR="00032E4E" w:rsidRPr="004D448D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45D5EE1" w14:textId="77777777" w:rsidR="00D7243C" w:rsidRDefault="00D7243C" w:rsidP="00D7243C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7BDD4F14" w14:textId="77777777" w:rsidR="004D448D" w:rsidRDefault="004D448D" w:rsidP="004D448D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47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6A870E8C" w14:textId="77777777" w:rsidR="00455CAD" w:rsidRPr="00762437" w:rsidRDefault="00455CAD" w:rsidP="00455CAD">
      <w:pPr>
        <w:pStyle w:val="Heading1"/>
      </w:pPr>
      <w:bookmarkStart w:id="3" w:name="_GoBack"/>
      <w:bookmarkEnd w:id="3"/>
      <w:r w:rsidRPr="00762437">
        <w:t xml:space="preserve">МК-1/21: Создание потенциала, техническая помощь и передача технологии </w:t>
      </w:r>
      <w:r>
        <w:t>для</w:t>
      </w:r>
      <w:r w:rsidRPr="00762437">
        <w:t xml:space="preserve"> </w:t>
      </w:r>
      <w:proofErr w:type="spellStart"/>
      <w:r w:rsidRPr="00762437">
        <w:t>Минаматской</w:t>
      </w:r>
      <w:proofErr w:type="spellEnd"/>
      <w:r w:rsidRPr="00762437">
        <w:t xml:space="preserve"> конвенции о ртути</w:t>
      </w:r>
      <w:bookmarkEnd w:id="2"/>
    </w:p>
    <w:p w14:paraId="5A461375" w14:textId="77777777" w:rsidR="00455CAD" w:rsidRPr="008C750D" w:rsidRDefault="00455CAD" w:rsidP="00455CAD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i/>
          <w:iCs/>
        </w:rPr>
      </w:pPr>
      <w:bookmarkStart w:id="4" w:name="bookmark_3"/>
      <w:r w:rsidRPr="00AE1B7C">
        <w:rPr>
          <w:i/>
        </w:rPr>
        <w:t>Конференция Сторон</w:t>
      </w:r>
      <w:r>
        <w:t>,</w:t>
      </w:r>
      <w:bookmarkEnd w:id="4"/>
    </w:p>
    <w:p w14:paraId="4D656058" w14:textId="77777777" w:rsidR="00455CAD" w:rsidRPr="008C750D" w:rsidRDefault="00455CAD" w:rsidP="00455CAD">
      <w:pPr>
        <w:pStyle w:val="Normalnumber"/>
        <w:numPr>
          <w:ilvl w:val="0"/>
          <w:numId w:val="0"/>
        </w:numPr>
        <w:tabs>
          <w:tab w:val="clear" w:pos="624"/>
        </w:tabs>
        <w:suppressAutoHyphens/>
        <w:autoSpaceDN w:val="0"/>
        <w:ind w:left="1247" w:firstLine="624"/>
        <w:textAlignment w:val="baseline"/>
        <w:rPr>
          <w:rStyle w:val="hps"/>
          <w:rFonts w:eastAsia="SimSun"/>
        </w:rPr>
      </w:pPr>
      <w:r w:rsidRPr="00AE1B7C">
        <w:rPr>
          <w:i/>
        </w:rPr>
        <w:t>ссылаясь</w:t>
      </w:r>
      <w:r>
        <w:t xml:space="preserve"> на резолюцию 1/5 Ассамблеи Организации Объединенных Наций по окружающей среде о химических веществах и отходах, в которой Ассамблея по окружающей среде предложила Сторонам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 и другими заинтересованным сторонам, в том числе Сторонам </w:t>
      </w:r>
      <w:proofErr w:type="spellStart"/>
      <w:r>
        <w:t>Минаматской</w:t>
      </w:r>
      <w:proofErr w:type="spellEnd"/>
      <w:r>
        <w:t xml:space="preserve"> конвенции и заинтересованным сторонам Стратегического подхода к международному регулированию химических веществ, рассмотреть способы стимулирования эффективной и действенной сети региональных центров в целях укрепления региональной деятельности по оказанию технической помощи;</w:t>
      </w:r>
    </w:p>
    <w:p w14:paraId="452DFEF0" w14:textId="77777777" w:rsidR="00455CAD" w:rsidRPr="008C750D" w:rsidRDefault="00455CAD" w:rsidP="00455CAD">
      <w:pPr>
        <w:pStyle w:val="Normalnumber"/>
        <w:numPr>
          <w:ilvl w:val="0"/>
          <w:numId w:val="0"/>
        </w:numPr>
        <w:tabs>
          <w:tab w:val="clear" w:pos="624"/>
        </w:tabs>
        <w:suppressAutoHyphens/>
        <w:autoSpaceDN w:val="0"/>
        <w:ind w:left="1247" w:firstLine="624"/>
        <w:textAlignment w:val="baseline"/>
        <w:rPr>
          <w:rStyle w:val="hps"/>
          <w:rFonts w:eastAsia="SimSun"/>
        </w:rPr>
      </w:pPr>
      <w:r w:rsidRPr="00AE1B7C">
        <w:rPr>
          <w:i/>
        </w:rPr>
        <w:t xml:space="preserve">ссылаясь также </w:t>
      </w:r>
      <w:r>
        <w:t>на резолюцию 2/7 Ассамблеи Организации Объединенных Наций по окружающей среде о рациональном регулировании химических веществ и отходов, в которой Ассамблея по окружающей среде, среди прочего, подчеркнула роль региональных центров Базельской и Стокгольмской конвенций в оказании регионам помощи в осуществлении этих двух конвенций и в выполнении другой соответствующей работы, касающейся многосторонних природоохранных соглашений по тематическому блоку химических веществ и отходов, в странах, в которых они работают;</w:t>
      </w:r>
    </w:p>
    <w:p w14:paraId="109A1768" w14:textId="77777777" w:rsidR="00455CAD" w:rsidRPr="008C750D" w:rsidRDefault="00455CAD" w:rsidP="00455CAD">
      <w:pPr>
        <w:pStyle w:val="Normalnumber"/>
        <w:numPr>
          <w:ilvl w:val="0"/>
          <w:numId w:val="0"/>
        </w:numPr>
        <w:tabs>
          <w:tab w:val="clear" w:pos="624"/>
        </w:tabs>
        <w:suppressAutoHyphens/>
        <w:autoSpaceDN w:val="0"/>
        <w:ind w:left="1247" w:firstLine="624"/>
        <w:textAlignment w:val="baseline"/>
        <w:rPr>
          <w:iCs/>
        </w:rPr>
      </w:pPr>
      <w:r w:rsidRPr="00AE1B7C">
        <w:rPr>
          <w:i/>
        </w:rPr>
        <w:t xml:space="preserve">ссылаясь далее </w:t>
      </w:r>
      <w:r>
        <w:t xml:space="preserve">на пункт 2 статьи 14 </w:t>
      </w:r>
      <w:proofErr w:type="spellStart"/>
      <w:r>
        <w:t>Минаматской</w:t>
      </w:r>
      <w:proofErr w:type="spellEnd"/>
      <w:r>
        <w:t xml:space="preserve"> конвенции, в котором предусматривается, что создание потенциала и техническая помощь в деле осуществления </w:t>
      </w:r>
      <w:proofErr w:type="spellStart"/>
      <w:r>
        <w:t>Минаматской</w:t>
      </w:r>
      <w:proofErr w:type="spellEnd"/>
      <w:r>
        <w:t xml:space="preserve"> конвенции могут осуществляться в рамках региональных, субрегиональных и национальных механизмов, включая существующие региональные и субрегиональные центры, посредством других многосторонних и двусторонних средств, а также посредством партнерств, в том числе партнерств с участием частного сектора;</w:t>
      </w:r>
    </w:p>
    <w:p w14:paraId="02809892" w14:textId="77777777" w:rsidR="00455CAD" w:rsidRPr="008C750D" w:rsidRDefault="00455CAD" w:rsidP="00455CAD">
      <w:pPr>
        <w:pStyle w:val="Normalnumber"/>
        <w:numPr>
          <w:ilvl w:val="0"/>
          <w:numId w:val="0"/>
        </w:numPr>
        <w:tabs>
          <w:tab w:val="clear" w:pos="624"/>
        </w:tabs>
        <w:suppressAutoHyphens/>
        <w:autoSpaceDN w:val="0"/>
        <w:ind w:left="1247" w:firstLine="624"/>
        <w:textAlignment w:val="baseline"/>
      </w:pPr>
      <w:r w:rsidRPr="00AE1B7C">
        <w:rPr>
          <w:i/>
        </w:rPr>
        <w:t>признавая</w:t>
      </w:r>
      <w:r>
        <w:t>, что некоторыми из существующих региональных и субрегиональных центров уже готовятся проекты и мероприятия по вопросам, касающимся ртути, и проекты по созданию потенциала и оказанию технической помощи;</w:t>
      </w:r>
    </w:p>
    <w:p w14:paraId="1A69DDD3" w14:textId="77777777" w:rsidR="00455CAD" w:rsidRPr="008C750D" w:rsidRDefault="00455CAD" w:rsidP="00455CAD">
      <w:pPr>
        <w:pStyle w:val="Normalnumber"/>
        <w:numPr>
          <w:ilvl w:val="0"/>
          <w:numId w:val="0"/>
        </w:numPr>
        <w:tabs>
          <w:tab w:val="clear" w:pos="624"/>
        </w:tabs>
        <w:suppressAutoHyphens/>
        <w:autoSpaceDN w:val="0"/>
        <w:ind w:left="1247" w:firstLine="624"/>
        <w:textAlignment w:val="baseline"/>
      </w:pPr>
      <w:r w:rsidRPr="00AE1B7C">
        <w:rPr>
          <w:i/>
        </w:rPr>
        <w:t xml:space="preserve">признавая также </w:t>
      </w:r>
      <w:r>
        <w:t>работу по созданию потенциала и техническую помощь, осуществляемые посредством других многосторонних и двусторонних средств, а также посредством партнерств, в том числе партнерств с участием частного сектора, которые на постоянной основе вносят вклад в различные мероприятия, связанные с ртутью;</w:t>
      </w:r>
    </w:p>
    <w:p w14:paraId="6A6FB7C0" w14:textId="77777777" w:rsidR="00455CAD" w:rsidRPr="008C750D" w:rsidRDefault="00455CAD" w:rsidP="00455CAD">
      <w:pPr>
        <w:pStyle w:val="Normalnumber"/>
        <w:numPr>
          <w:ilvl w:val="0"/>
          <w:numId w:val="0"/>
        </w:numPr>
        <w:tabs>
          <w:tab w:val="clear" w:pos="624"/>
        </w:tabs>
        <w:suppressAutoHyphens/>
        <w:autoSpaceDN w:val="0"/>
        <w:ind w:left="1247" w:firstLine="624"/>
        <w:textAlignment w:val="baseline"/>
      </w:pPr>
      <w:r w:rsidRPr="00AE1B7C">
        <w:rPr>
          <w:i/>
        </w:rPr>
        <w:lastRenderedPageBreak/>
        <w:t>поручает</w:t>
      </w:r>
      <w:r>
        <w:t xml:space="preserve"> секретариату </w:t>
      </w:r>
      <w:proofErr w:type="spellStart"/>
      <w:r>
        <w:t>Минаматской</w:t>
      </w:r>
      <w:proofErr w:type="spellEnd"/>
      <w:r>
        <w:t xml:space="preserve"> конвенции, при условии наличия ресурсов, собирать информацию о работе, выполняемой существующими региональными, субрегиональными и национальными механизмами по вопросам создания потенциала и технической помощи в целях оказания содействия Сторонам в выполнении их обязательств в рамках </w:t>
      </w:r>
      <w:proofErr w:type="spellStart"/>
      <w:r>
        <w:t>Минаматской</w:t>
      </w:r>
      <w:proofErr w:type="spellEnd"/>
      <w:r>
        <w:t xml:space="preserve"> конвенции, и представить доклад по этому вопросу Конференции Сторон на ее втором совещании.</w:t>
      </w:r>
    </w:p>
    <w:p w14:paraId="7D3161EF" w14:textId="00465D55" w:rsidR="00455CAD" w:rsidRPr="00455CAD" w:rsidRDefault="00455CAD" w:rsidP="00455CAD"/>
    <w:sectPr w:rsidR="00455CAD" w:rsidRPr="00455CAD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F759" w14:textId="77777777" w:rsidR="00627DB1" w:rsidRDefault="00627DB1">
      <w:r>
        <w:separator/>
      </w:r>
    </w:p>
  </w:endnote>
  <w:endnote w:type="continuationSeparator" w:id="0">
    <w:p w14:paraId="1B19548F" w14:textId="77777777" w:rsidR="00627DB1" w:rsidRDefault="006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E805" w14:textId="77777777" w:rsidR="00627DB1" w:rsidRDefault="00627DB1" w:rsidP="00851756">
      <w:pPr>
        <w:spacing w:before="60"/>
        <w:ind w:left="624"/>
      </w:pPr>
      <w:r>
        <w:separator/>
      </w:r>
    </w:p>
  </w:footnote>
  <w:footnote w:type="continuationSeparator" w:id="0">
    <w:p w14:paraId="32DDAF4A" w14:textId="77777777" w:rsidR="00627DB1" w:rsidRDefault="0062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4C42800E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AC5917">
      <w:rPr>
        <w:lang w:val="en-US"/>
      </w:rPr>
      <w:t>2</w:t>
    </w:r>
    <w:r w:rsidR="00455CAD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397CA82A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AC5917">
      <w:rPr>
        <w:lang w:val="en-US"/>
      </w:rPr>
      <w:t>2</w:t>
    </w:r>
    <w:r w:rsidR="00455CAD">
      <w:rPr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BA"/>
    <w:multiLevelType w:val="hybridMultilevel"/>
    <w:tmpl w:val="29B2D844"/>
    <w:numStyleLink w:val="Importeradestilen6"/>
  </w:abstractNum>
  <w:abstractNum w:abstractNumId="1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5" w15:restartNumberingAfterBreak="0">
    <w:nsid w:val="58AA3667"/>
    <w:multiLevelType w:val="hybridMultilevel"/>
    <w:tmpl w:val="A72A60C0"/>
    <w:numStyleLink w:val="Importeradestilen7"/>
  </w:abstractNum>
  <w:abstractNum w:abstractNumId="16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1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BCC466D"/>
    <w:multiLevelType w:val="hybridMultilevel"/>
    <w:tmpl w:val="08CE3892"/>
    <w:numStyleLink w:val="Importeradestilen10"/>
  </w:abstractNum>
  <w:abstractNum w:abstractNumId="25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12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11"/>
  </w:num>
  <w:num w:numId="19">
    <w:abstractNumId w:val="1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1"/>
  </w:num>
  <w:num w:numId="21">
    <w:abstractNumId w:val="17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6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4"/>
  </w:num>
  <w:num w:numId="24">
    <w:abstractNumId w:val="27"/>
  </w:num>
  <w:num w:numId="25">
    <w:abstractNumId w:val="5"/>
  </w:num>
  <w:num w:numId="26">
    <w:abstractNumId w:val="2"/>
  </w:num>
  <w:num w:numId="27">
    <w:abstractNumId w:val="25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3"/>
  </w:num>
  <w:num w:numId="29">
    <w:abstractNumId w:val="20"/>
  </w:num>
  <w:num w:numId="30">
    <w:abstractNumId w:val="7"/>
  </w:num>
  <w:num w:numId="31">
    <w:abstractNumId w:val="21"/>
  </w:num>
  <w:num w:numId="32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33">
    <w:abstractNumId w:val="22"/>
  </w:num>
  <w:num w:numId="34">
    <w:abstractNumId w:val="24"/>
  </w:num>
  <w:num w:numId="35">
    <w:abstractNumId w:val="26"/>
  </w:num>
  <w:num w:numId="36">
    <w:abstractNumId w:val="15"/>
  </w:num>
  <w:num w:numId="37">
    <w:abstractNumId w:val="19"/>
  </w:num>
  <w:num w:numId="38">
    <w:abstractNumId w:val="10"/>
  </w:num>
  <w:num w:numId="39">
    <w:abstractNumId w:val="0"/>
    <w:lvlOverride w:ilvl="0">
      <w:startOverride w:val="12"/>
    </w:lvlOverride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354"/>
    <w:rsid w:val="001E0D73"/>
    <w:rsid w:val="001E4028"/>
    <w:rsid w:val="001E45BD"/>
    <w:rsid w:val="001E470E"/>
    <w:rsid w:val="001E4C58"/>
    <w:rsid w:val="001E521C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5CAD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448D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2E4C"/>
    <w:rsid w:val="00543515"/>
    <w:rsid w:val="00544CBB"/>
    <w:rsid w:val="00545499"/>
    <w:rsid w:val="00550465"/>
    <w:rsid w:val="00550792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27DB1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0B9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5917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5CF6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3300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243C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C7109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uiPriority w:val="99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1E0354"/>
  </w:style>
  <w:style w:type="numbering" w:customStyle="1" w:styleId="Normallist1">
    <w:name w:val="Normal_list1"/>
    <w:basedOn w:val="NoList"/>
    <w:rsid w:val="001E0354"/>
  </w:style>
  <w:style w:type="table" w:customStyle="1" w:styleId="TableGrid1">
    <w:name w:val="Table Grid1"/>
    <w:basedOn w:val="TableNormal"/>
    <w:next w:val="TableGrid"/>
    <w:rsid w:val="001E035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54"/>
    <w:rPr>
      <w:color w:val="808080"/>
      <w:shd w:val="clear" w:color="auto" w:fill="E6E6E6"/>
    </w:rPr>
  </w:style>
  <w:style w:type="numbering" w:customStyle="1" w:styleId="Importeradestilen10">
    <w:name w:val="Importerade stilen 10"/>
    <w:rsid w:val="001E0354"/>
    <w:pPr>
      <w:numPr>
        <w:numId w:val="33"/>
      </w:numPr>
    </w:pPr>
  </w:style>
  <w:style w:type="character" w:customStyle="1" w:styleId="Inget">
    <w:name w:val="Inget"/>
    <w:rsid w:val="001E0354"/>
  </w:style>
  <w:style w:type="paragraph" w:customStyle="1" w:styleId="Brdtext">
    <w:name w:val="Brödtext"/>
    <w:rsid w:val="001E03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7">
    <w:name w:val="Importerade stilen 7"/>
    <w:rsid w:val="001E0354"/>
    <w:pPr>
      <w:numPr>
        <w:numId w:val="35"/>
      </w:numPr>
    </w:pPr>
  </w:style>
  <w:style w:type="numbering" w:customStyle="1" w:styleId="Importeradestilen6">
    <w:name w:val="Importerade stilen 6"/>
    <w:rsid w:val="001E0354"/>
    <w:pPr>
      <w:numPr>
        <w:numId w:val="38"/>
      </w:numPr>
    </w:pPr>
  </w:style>
  <w:style w:type="character" w:customStyle="1" w:styleId="hps">
    <w:name w:val="hps"/>
    <w:rsid w:val="001E0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95663-6138-4F10-8757-FB6679EE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2020-11-09T11:42:00Z</cp:lastPrinted>
  <dcterms:created xsi:type="dcterms:W3CDTF">2020-11-06T10:05:00Z</dcterms:created>
  <dcterms:modified xsi:type="dcterms:W3CDTF">2020-11-09T11:43:00Z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