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001E1443">
        <w:trPr>
          <w:cantSplit/>
          <w:trHeight w:val="624"/>
        </w:trPr>
        <w:tc>
          <w:tcPr>
            <w:tcW w:w="3403" w:type="dxa"/>
            <w:tcBorders>
              <w:bottom w:val="nil"/>
            </w:tcBorders>
          </w:tcPr>
          <w:p w14:paraId="0D7BDFB7"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001E1443">
        <w:trPr>
          <w:cantSplit/>
          <w:trHeight w:val="254"/>
        </w:trPr>
        <w:tc>
          <w:tcPr>
            <w:tcW w:w="3403" w:type="dxa"/>
            <w:tcBorders>
              <w:top w:val="nil"/>
              <w:bottom w:val="single" w:sz="4" w:space="0" w:color="auto"/>
            </w:tcBorders>
          </w:tcPr>
          <w:p w14:paraId="4754C7D0" w14:textId="0837E613"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603C2D">
              <w:rPr>
                <w:rFonts w:cs="Times New Roman"/>
                <w:szCs w:val="20"/>
              </w:rPr>
              <w:t>21</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00D0655D">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0D2BCC18" w14:textId="77777777" w:rsidR="00603C2D" w:rsidRPr="00F6259B" w:rsidRDefault="00603C2D" w:rsidP="00603C2D">
      <w:pPr>
        <w:pStyle w:val="Heading1"/>
        <w:bidi/>
        <w:ind w:left="1132"/>
        <w:jc w:val="both"/>
        <w:rPr>
          <w:rFonts w:ascii="Traditional Arabic" w:hAnsi="Traditional Arabic"/>
          <w:bCs/>
          <w:sz w:val="32"/>
          <w:szCs w:val="32"/>
          <w:u w:val="none"/>
          <w:rtl/>
          <w:lang w:eastAsia="zh-TW"/>
        </w:rPr>
      </w:pPr>
      <w:bookmarkStart w:id="0" w:name="bookmark_2203"/>
      <w:bookmarkStart w:id="1" w:name="_Toc506205296"/>
      <w:r w:rsidRPr="00F6259B">
        <w:rPr>
          <w:rFonts w:ascii="Traditional Arabic" w:hAnsi="Traditional Arabic" w:hint="eastAsia"/>
          <w:b/>
          <w:bCs/>
          <w:sz w:val="32"/>
          <w:szCs w:val="32"/>
          <w:u w:val="none"/>
          <w:rtl/>
          <w:lang w:eastAsia="zh-TW"/>
        </w:rPr>
        <w:t>المقرر</w:t>
      </w:r>
      <w:r w:rsidRPr="00F6259B">
        <w:rPr>
          <w:rFonts w:ascii="Traditional Arabic" w:hAnsi="Traditional Arabic"/>
          <w:b/>
          <w:bCs/>
          <w:sz w:val="32"/>
          <w:szCs w:val="32"/>
          <w:u w:val="none"/>
          <w:rtl/>
          <w:lang w:eastAsia="zh-TW"/>
        </w:rPr>
        <w:t xml:space="preserve"> ا م-1/21</w:t>
      </w:r>
      <w:r w:rsidRPr="00F6259B">
        <w:rPr>
          <w:rFonts w:ascii="Traditional Arabic" w:hAnsi="Traditional Arabic"/>
          <w:b/>
          <w:bCs/>
          <w:sz w:val="32"/>
          <w:szCs w:val="32"/>
          <w:u w:val="none"/>
          <w:lang w:eastAsia="zh-TW"/>
        </w:rPr>
        <w:t>:</w:t>
      </w:r>
      <w:r w:rsidRPr="00F6259B">
        <w:rPr>
          <w:rFonts w:ascii="Traditional Arabic" w:hAnsi="Traditional Arabic"/>
          <w:b/>
          <w:bCs/>
          <w:sz w:val="32"/>
          <w:szCs w:val="32"/>
          <w:u w:val="none"/>
          <w:rtl/>
          <w:lang w:eastAsia="zh-TW"/>
        </w:rPr>
        <w:t xml:space="preserve"> بناء القدرات والمساعدة التقنية ونقل التكنولوجيا </w:t>
      </w:r>
      <w:r w:rsidRPr="00F6259B">
        <w:rPr>
          <w:rFonts w:ascii="Traditional Arabic" w:hAnsi="Traditional Arabic" w:hint="cs"/>
          <w:b/>
          <w:bCs/>
          <w:sz w:val="32"/>
          <w:szCs w:val="32"/>
          <w:u w:val="none"/>
          <w:rtl/>
          <w:lang w:eastAsia="zh-TW"/>
        </w:rPr>
        <w:t>ل</w:t>
      </w:r>
      <w:r w:rsidRPr="00F6259B">
        <w:rPr>
          <w:rFonts w:ascii="Traditional Arabic" w:hAnsi="Traditional Arabic"/>
          <w:b/>
          <w:bCs/>
          <w:sz w:val="32"/>
          <w:szCs w:val="32"/>
          <w:u w:val="none"/>
          <w:rtl/>
          <w:lang w:eastAsia="zh-TW"/>
        </w:rPr>
        <w:t xml:space="preserve">اتفاقية </w:t>
      </w:r>
      <w:proofErr w:type="spellStart"/>
      <w:r w:rsidRPr="00F6259B">
        <w:rPr>
          <w:rFonts w:ascii="Traditional Arabic" w:hAnsi="Traditional Arabic" w:hint="eastAsia"/>
          <w:b/>
          <w:bCs/>
          <w:sz w:val="32"/>
          <w:szCs w:val="32"/>
          <w:u w:val="none"/>
          <w:rtl/>
          <w:lang w:eastAsia="zh-TW"/>
        </w:rPr>
        <w:t>ميناماتا</w:t>
      </w:r>
      <w:proofErr w:type="spellEnd"/>
      <w:r w:rsidRPr="00F6259B">
        <w:rPr>
          <w:rFonts w:ascii="Traditional Arabic" w:hAnsi="Traditional Arabic"/>
          <w:b/>
          <w:bCs/>
          <w:sz w:val="32"/>
          <w:szCs w:val="32"/>
          <w:u w:val="none"/>
          <w:rtl/>
          <w:lang w:eastAsia="zh-TW"/>
        </w:rPr>
        <w:t xml:space="preserve"> بشأن الزئبق</w:t>
      </w:r>
      <w:bookmarkEnd w:id="0"/>
      <w:bookmarkEnd w:id="1"/>
    </w:p>
    <w:p w14:paraId="64415E3A" w14:textId="77777777" w:rsidR="00603C2D" w:rsidRPr="000D3A6C" w:rsidRDefault="00603C2D" w:rsidP="00603C2D">
      <w:pPr>
        <w:pStyle w:val="NormalNonumber"/>
        <w:tabs>
          <w:tab w:val="clear" w:pos="1247"/>
          <w:tab w:val="clear" w:pos="1814"/>
          <w:tab w:val="clear" w:pos="2381"/>
          <w:tab w:val="clear" w:pos="2948"/>
          <w:tab w:val="clear" w:pos="3515"/>
          <w:tab w:val="left" w:pos="1841"/>
          <w:tab w:val="left" w:pos="2408"/>
          <w:tab w:val="left" w:pos="2975"/>
          <w:tab w:val="left" w:pos="3542"/>
        </w:tabs>
        <w:bidi/>
        <w:spacing w:line="400" w:lineRule="exact"/>
        <w:ind w:left="1134"/>
        <w:jc w:val="both"/>
        <w:textDirection w:val="tbRlV"/>
        <w:rPr>
          <w:rFonts w:ascii="Traditional Arabic" w:hAnsi="Traditional Arabic"/>
          <w:sz w:val="30"/>
          <w:rtl/>
          <w:lang w:eastAsia="zh-TW"/>
        </w:rPr>
      </w:pPr>
      <w:bookmarkStart w:id="2" w:name="bookmark_2204"/>
      <w:r>
        <w:rPr>
          <w:i/>
          <w:iCs/>
          <w:lang w:eastAsia="zh-TW"/>
        </w:rPr>
        <w:tab/>
      </w:r>
      <w:r w:rsidRPr="000D3A6C">
        <w:rPr>
          <w:i/>
          <w:iCs/>
          <w:rtl/>
          <w:lang w:eastAsia="zh-TW"/>
        </w:rPr>
        <w:t xml:space="preserve">إن </w:t>
      </w:r>
      <w:r w:rsidRPr="000D3A6C">
        <w:rPr>
          <w:rFonts w:ascii="Traditional Arabic" w:hAnsi="Traditional Arabic" w:hint="cs"/>
          <w:i/>
          <w:iCs/>
          <w:sz w:val="30"/>
          <w:rtl/>
          <w:lang w:eastAsia="zh-TW"/>
        </w:rPr>
        <w:t>مؤتمر الأطراف،</w:t>
      </w:r>
      <w:bookmarkEnd w:id="2"/>
    </w:p>
    <w:p w14:paraId="3AC8C909" w14:textId="77777777" w:rsidR="00603C2D" w:rsidRPr="000D3A6C"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rStyle w:val="hps"/>
          <w:rFonts w:ascii="Traditional Arabic" w:hAnsi="Traditional Arabic" w:cs="Traditional Arabic"/>
          <w:sz w:val="30"/>
          <w:szCs w:val="30"/>
          <w:rtl/>
          <w:lang w:eastAsia="zh-TW"/>
        </w:rPr>
      </w:pPr>
      <w:bookmarkStart w:id="3" w:name="bookmark_2205"/>
      <w:r>
        <w:rPr>
          <w:rFonts w:ascii="Traditional Arabic" w:hAnsi="Traditional Arabic" w:cs="Traditional Arabic"/>
          <w:sz w:val="30"/>
          <w:szCs w:val="30"/>
          <w:lang w:eastAsia="zh-TW"/>
        </w:rPr>
        <w:tab/>
      </w:r>
      <w:r w:rsidRPr="000D3A6C">
        <w:rPr>
          <w:rFonts w:ascii="Traditional Arabic" w:hAnsi="Traditional Arabic" w:cs="Traditional Arabic" w:hint="cs"/>
          <w:i/>
          <w:iCs/>
          <w:sz w:val="30"/>
          <w:szCs w:val="30"/>
          <w:rtl/>
          <w:lang w:eastAsia="zh-TW"/>
        </w:rPr>
        <w:t>إذ يشير</w:t>
      </w:r>
      <w:r w:rsidRPr="000D3A6C">
        <w:rPr>
          <w:rFonts w:ascii="Traditional Arabic" w:hAnsi="Traditional Arabic" w:cs="Traditional Arabic" w:hint="cs"/>
          <w:sz w:val="30"/>
          <w:szCs w:val="30"/>
          <w:rtl/>
          <w:lang w:eastAsia="zh-TW"/>
        </w:rPr>
        <w:t xml:space="preserve"> إلى قرار جمعية الأمم المتحدة للبيئة 1/5 بشأن المواد الكيميائية والنفايات، وفيه دعت جمعية البيئة الأطراف في اتفاقية بازل بشأن التحكم في نقل النفايات الخطرة والتخلص منها عبر الحدود، واتفاقية </w:t>
      </w:r>
      <w:r>
        <w:rPr>
          <w:rFonts w:ascii="Traditional Arabic" w:hAnsi="Traditional Arabic" w:cs="Traditional Arabic" w:hint="cs"/>
          <w:sz w:val="30"/>
          <w:szCs w:val="30"/>
          <w:rtl/>
          <w:lang w:eastAsia="zh-TW"/>
        </w:rPr>
        <w:t>ا</w:t>
      </w:r>
      <w:r w:rsidRPr="000D3A6C">
        <w:rPr>
          <w:rFonts w:ascii="Traditional Arabic" w:hAnsi="Traditional Arabic" w:cs="Traditional Arabic" w:hint="cs"/>
          <w:sz w:val="30"/>
          <w:szCs w:val="30"/>
          <w:rtl/>
          <w:lang w:eastAsia="zh-TW"/>
        </w:rPr>
        <w:t xml:space="preserve">ستكهولم بشأن الملوثات العضوية الثابتة، وغير ذلك من الجهات صاحبة المصلحة، بما في ذلك الأطراف في اتفاقية </w:t>
      </w:r>
      <w:proofErr w:type="spellStart"/>
      <w:r w:rsidRPr="000D3A6C">
        <w:rPr>
          <w:rFonts w:ascii="Traditional Arabic" w:hAnsi="Traditional Arabic" w:cs="Traditional Arabic" w:hint="cs"/>
          <w:sz w:val="30"/>
          <w:szCs w:val="30"/>
          <w:rtl/>
          <w:lang w:eastAsia="zh-TW"/>
        </w:rPr>
        <w:t>ميناماتا</w:t>
      </w:r>
      <w:proofErr w:type="spellEnd"/>
      <w:r w:rsidRPr="000D3A6C">
        <w:rPr>
          <w:rFonts w:ascii="Traditional Arabic" w:hAnsi="Traditional Arabic" w:cs="Traditional Arabic" w:hint="cs"/>
          <w:sz w:val="30"/>
          <w:szCs w:val="30"/>
          <w:rtl/>
          <w:lang w:eastAsia="zh-TW"/>
        </w:rPr>
        <w:t xml:space="preserve"> بشأن الزئبق والجهات المعنية التابعة للنهج الاستراتيجي للإدارة الدولية للمواد الكيميائية، إلى النظر في سبل تعزيز شبكة مراكز إقليمية ذات فعالية وكفاءة لدعم تقديم المساعدة التقنية على الصعيد الإقليمي،</w:t>
      </w:r>
      <w:bookmarkEnd w:id="3"/>
    </w:p>
    <w:p w14:paraId="43D542AC" w14:textId="77777777" w:rsidR="00603C2D" w:rsidRPr="000D3A6C"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rStyle w:val="hps"/>
          <w:rFonts w:ascii="Traditional Arabic" w:hAnsi="Traditional Arabic" w:cs="Traditional Arabic"/>
          <w:sz w:val="30"/>
          <w:szCs w:val="30"/>
          <w:rtl/>
          <w:lang w:eastAsia="zh-TW"/>
        </w:rPr>
      </w:pPr>
      <w:bookmarkStart w:id="4" w:name="bookmark_2206"/>
      <w:r>
        <w:rPr>
          <w:rFonts w:ascii="Traditional Arabic" w:hAnsi="Traditional Arabic" w:cs="Traditional Arabic"/>
          <w:i/>
          <w:iCs/>
          <w:sz w:val="30"/>
          <w:szCs w:val="30"/>
          <w:lang w:eastAsia="zh-TW"/>
        </w:rPr>
        <w:tab/>
      </w:r>
      <w:r w:rsidRPr="000D3A6C">
        <w:rPr>
          <w:rFonts w:ascii="Traditional Arabic" w:hAnsi="Traditional Arabic" w:cs="Traditional Arabic" w:hint="cs"/>
          <w:i/>
          <w:iCs/>
          <w:sz w:val="30"/>
          <w:szCs w:val="30"/>
          <w:rtl/>
          <w:lang w:eastAsia="zh-TW"/>
        </w:rPr>
        <w:t>وإذ يشير أيضاً</w:t>
      </w:r>
      <w:r w:rsidRPr="000D3A6C">
        <w:rPr>
          <w:rFonts w:ascii="Traditional Arabic" w:hAnsi="Traditional Arabic" w:cs="Traditional Arabic" w:hint="cs"/>
          <w:sz w:val="30"/>
          <w:szCs w:val="30"/>
          <w:rtl/>
          <w:lang w:eastAsia="zh-TW"/>
        </w:rPr>
        <w:t xml:space="preserve"> إلى قرار جمعية الأمم المتحدة للبيئة 2/7 بشأن الإدارة السليمة للمواد الكيميائية والنفايات، وفيه قامت جمعية البيئة بجملة أمور منها إبراز الدور الذي تقوم به المراكز الإقليمية لاتفاقيتي بازل واستكهولم في مساعدة المناطق على تنفيذ هاتين الاتفاقيتين وفي غير ذلك من الأعمال ذات الصلة بالاتفاقات البيئية المتعددة الأطراف ضمن مجموعة المواد الكيميائية والنفايات في البلدان التي تخدمها تلك المجموعة</w:t>
      </w:r>
      <w:bookmarkEnd w:id="4"/>
      <w:r>
        <w:rPr>
          <w:rFonts w:ascii="Traditional Arabic" w:hAnsi="Traditional Arabic" w:cs="Traditional Arabic" w:hint="cs"/>
          <w:sz w:val="30"/>
          <w:szCs w:val="30"/>
          <w:rtl/>
          <w:lang w:eastAsia="zh-TW"/>
        </w:rPr>
        <w:t>،</w:t>
      </w:r>
    </w:p>
    <w:p w14:paraId="676BA99B" w14:textId="77777777" w:rsidR="00603C2D" w:rsidRPr="000D3A6C"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rFonts w:ascii="Traditional Arabic" w:hAnsi="Traditional Arabic" w:cs="Traditional Arabic"/>
          <w:i/>
          <w:sz w:val="30"/>
          <w:szCs w:val="30"/>
          <w:rtl/>
          <w:lang w:eastAsia="zh-TW"/>
        </w:rPr>
      </w:pPr>
      <w:bookmarkStart w:id="5" w:name="bookmark_2207"/>
      <w:r>
        <w:rPr>
          <w:rFonts w:ascii="Traditional Arabic" w:hAnsi="Traditional Arabic" w:cs="Traditional Arabic"/>
          <w:sz w:val="30"/>
          <w:szCs w:val="30"/>
          <w:rtl/>
          <w:lang w:eastAsia="zh-TW"/>
        </w:rPr>
        <w:tab/>
      </w:r>
      <w:r w:rsidRPr="000D3A6C">
        <w:rPr>
          <w:rFonts w:ascii="Traditional Arabic" w:hAnsi="Traditional Arabic" w:cs="Traditional Arabic" w:hint="cs"/>
          <w:i/>
          <w:iCs/>
          <w:sz w:val="30"/>
          <w:szCs w:val="30"/>
          <w:rtl/>
          <w:lang w:eastAsia="zh-TW"/>
        </w:rPr>
        <w:t>وإذ يشير كذلك</w:t>
      </w:r>
      <w:r w:rsidRPr="000D3A6C">
        <w:rPr>
          <w:rFonts w:ascii="Traditional Arabic" w:hAnsi="Traditional Arabic" w:cs="Traditional Arabic" w:hint="cs"/>
          <w:sz w:val="30"/>
          <w:szCs w:val="30"/>
          <w:rtl/>
          <w:lang w:eastAsia="zh-TW"/>
        </w:rPr>
        <w:t xml:space="preserve"> إلى الفقرة 2 من المادة 14 من اتفاقية </w:t>
      </w:r>
      <w:proofErr w:type="spellStart"/>
      <w:r w:rsidRPr="000D3A6C">
        <w:rPr>
          <w:rFonts w:ascii="Traditional Arabic" w:hAnsi="Traditional Arabic" w:cs="Traditional Arabic" w:hint="cs"/>
          <w:sz w:val="30"/>
          <w:szCs w:val="30"/>
          <w:rtl/>
          <w:lang w:eastAsia="zh-TW"/>
        </w:rPr>
        <w:t>ميناماتا</w:t>
      </w:r>
      <w:proofErr w:type="spellEnd"/>
      <w:r w:rsidRPr="000D3A6C">
        <w:rPr>
          <w:rFonts w:ascii="Traditional Arabic" w:hAnsi="Traditional Arabic" w:cs="Traditional Arabic" w:hint="cs"/>
          <w:sz w:val="30"/>
          <w:szCs w:val="30"/>
          <w:rtl/>
          <w:lang w:eastAsia="zh-TW"/>
        </w:rPr>
        <w:t xml:space="preserve"> التي تنص على أن بناء القدرات والمساعدة التقنية من أجل تنفيذ اتفاقية </w:t>
      </w:r>
      <w:proofErr w:type="spellStart"/>
      <w:r w:rsidRPr="000D3A6C">
        <w:rPr>
          <w:rFonts w:ascii="Traditional Arabic" w:hAnsi="Traditional Arabic" w:cs="Traditional Arabic" w:hint="cs"/>
          <w:sz w:val="30"/>
          <w:szCs w:val="30"/>
          <w:rtl/>
          <w:lang w:eastAsia="zh-TW"/>
        </w:rPr>
        <w:t>ميناماتا</w:t>
      </w:r>
      <w:proofErr w:type="spellEnd"/>
      <w:r w:rsidRPr="000D3A6C">
        <w:rPr>
          <w:rFonts w:ascii="Traditional Arabic" w:hAnsi="Traditional Arabic" w:cs="Traditional Arabic" w:hint="cs"/>
          <w:sz w:val="30"/>
          <w:szCs w:val="30"/>
          <w:rtl/>
          <w:lang w:eastAsia="zh-TW"/>
        </w:rPr>
        <w:t>، يجوز أن تقدم من خلال الترتيبات الإقليمية ودون الإقليمية والوطنية، بما في ذلك المراكز الإقليمية ودون الإقليمية القائمة، ومن خلال الوسائل المتعددة الأطراف والوسائل الثنائية الأخرى، ومن خلال الشراكات، بما فيها الشراكات التي تشمل القطاع الخاص</w:t>
      </w:r>
      <w:bookmarkEnd w:id="5"/>
      <w:r>
        <w:rPr>
          <w:rFonts w:ascii="Traditional Arabic" w:hAnsi="Traditional Arabic" w:cs="Traditional Arabic" w:hint="cs"/>
          <w:sz w:val="30"/>
          <w:szCs w:val="30"/>
          <w:rtl/>
          <w:lang w:eastAsia="zh-TW"/>
        </w:rPr>
        <w:t>،</w:t>
      </w:r>
    </w:p>
    <w:p w14:paraId="28569972" w14:textId="77777777" w:rsidR="00603C2D" w:rsidRPr="000D3A6C"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rFonts w:ascii="Traditional Arabic" w:hAnsi="Traditional Arabic" w:cs="Traditional Arabic"/>
          <w:sz w:val="30"/>
          <w:szCs w:val="30"/>
          <w:rtl/>
          <w:lang w:eastAsia="zh-TW"/>
        </w:rPr>
      </w:pPr>
      <w:bookmarkStart w:id="6" w:name="bookmark_2208"/>
      <w:r>
        <w:rPr>
          <w:rFonts w:ascii="Traditional Arabic" w:hAnsi="Traditional Arabic" w:cs="Traditional Arabic"/>
          <w:i/>
          <w:iCs/>
          <w:sz w:val="30"/>
          <w:szCs w:val="30"/>
          <w:rtl/>
          <w:lang w:eastAsia="zh-TW"/>
        </w:rPr>
        <w:lastRenderedPageBreak/>
        <w:tab/>
      </w:r>
      <w:r w:rsidRPr="000D3A6C">
        <w:rPr>
          <w:rFonts w:ascii="Traditional Arabic" w:hAnsi="Traditional Arabic" w:cs="Traditional Arabic" w:hint="cs"/>
          <w:i/>
          <w:iCs/>
          <w:sz w:val="30"/>
          <w:szCs w:val="30"/>
          <w:rtl/>
          <w:lang w:eastAsia="zh-TW"/>
        </w:rPr>
        <w:t>وإذ يسلم</w:t>
      </w:r>
      <w:r w:rsidRPr="000D3A6C">
        <w:rPr>
          <w:rFonts w:ascii="Traditional Arabic" w:hAnsi="Traditional Arabic" w:cs="Traditional Arabic" w:hint="cs"/>
          <w:sz w:val="30"/>
          <w:szCs w:val="30"/>
          <w:rtl/>
          <w:lang w:eastAsia="zh-TW"/>
        </w:rPr>
        <w:t xml:space="preserve"> بأن بعض المراكز الإقليمية ودون الإقليمية القائمة تعمل بالفعل على وضع المشاريع والأنشطة المتعلقة بقضايا الزئبق والمشاريع المخصصة لتوفير بناء القدرات والمساعدة التقنية</w:t>
      </w:r>
      <w:bookmarkEnd w:id="6"/>
      <w:r>
        <w:rPr>
          <w:rFonts w:ascii="Traditional Arabic" w:hAnsi="Traditional Arabic" w:cs="Traditional Arabic" w:hint="cs"/>
          <w:sz w:val="30"/>
          <w:szCs w:val="30"/>
          <w:rtl/>
          <w:lang w:eastAsia="zh-TW"/>
        </w:rPr>
        <w:t>،</w:t>
      </w:r>
    </w:p>
    <w:p w14:paraId="1D4960BD" w14:textId="77777777" w:rsidR="00603C2D" w:rsidRPr="000D3A6C"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rFonts w:ascii="Traditional Arabic" w:hAnsi="Traditional Arabic" w:cs="Traditional Arabic"/>
          <w:sz w:val="30"/>
          <w:szCs w:val="30"/>
          <w:rtl/>
          <w:lang w:eastAsia="zh-TW"/>
        </w:rPr>
      </w:pPr>
      <w:bookmarkStart w:id="7" w:name="bookmark_2209"/>
      <w:r>
        <w:rPr>
          <w:rFonts w:ascii="Traditional Arabic" w:hAnsi="Traditional Arabic" w:cs="Traditional Arabic"/>
          <w:i/>
          <w:iCs/>
          <w:sz w:val="30"/>
          <w:szCs w:val="30"/>
          <w:rtl/>
          <w:lang w:eastAsia="zh-TW"/>
        </w:rPr>
        <w:tab/>
      </w:r>
      <w:r w:rsidRPr="000D3A6C">
        <w:rPr>
          <w:rFonts w:ascii="Traditional Arabic" w:hAnsi="Traditional Arabic" w:cs="Traditional Arabic" w:hint="cs"/>
          <w:i/>
          <w:iCs/>
          <w:sz w:val="30"/>
          <w:szCs w:val="30"/>
          <w:rtl/>
          <w:lang w:eastAsia="zh-TW"/>
        </w:rPr>
        <w:t>وإذ يسلم أيضاً</w:t>
      </w:r>
      <w:r w:rsidRPr="000D3A6C">
        <w:rPr>
          <w:rFonts w:ascii="Traditional Arabic" w:hAnsi="Traditional Arabic" w:cs="Traditional Arabic" w:hint="cs"/>
          <w:sz w:val="30"/>
          <w:szCs w:val="30"/>
          <w:rtl/>
          <w:lang w:eastAsia="zh-TW"/>
        </w:rPr>
        <w:t xml:space="preserve"> ببناء القدرات والمساعدة التقنية التي تم توفيرها من خلال الوسائل الأخرى الثنائية والمتعددة الأطراف، ومن خلال الشراكات بما فيها الشراكات التي تشمل القطاع الخاص، الذي يساهم باستمرار في عدد مختلف من الأنشطة المتصلة بالزئبق</w:t>
      </w:r>
      <w:bookmarkEnd w:id="7"/>
      <w:r>
        <w:rPr>
          <w:rFonts w:ascii="Traditional Arabic" w:hAnsi="Traditional Arabic" w:cs="Traditional Arabic" w:hint="cs"/>
          <w:sz w:val="30"/>
          <w:szCs w:val="30"/>
          <w:rtl/>
          <w:lang w:eastAsia="zh-TW"/>
        </w:rPr>
        <w:t>،</w:t>
      </w:r>
    </w:p>
    <w:p w14:paraId="38D7D60D" w14:textId="0CD02F30" w:rsidR="00EA1C1B" w:rsidRPr="002B6C07" w:rsidRDefault="00603C2D" w:rsidP="00603C2D">
      <w:pPr>
        <w:pStyle w:val="Normalnumber"/>
        <w:numPr>
          <w:ilvl w:val="0"/>
          <w:numId w:val="0"/>
        </w:numPr>
        <w:tabs>
          <w:tab w:val="left" w:pos="1841"/>
          <w:tab w:val="left" w:pos="2408"/>
          <w:tab w:val="left" w:pos="2975"/>
          <w:tab w:val="left" w:pos="3542"/>
        </w:tabs>
        <w:suppressAutoHyphens/>
        <w:bidi/>
        <w:spacing w:line="400" w:lineRule="exact"/>
        <w:ind w:left="1134"/>
        <w:jc w:val="both"/>
        <w:textDirection w:val="tbRlV"/>
        <w:textAlignment w:val="baseline"/>
        <w:rPr>
          <w:sz w:val="22"/>
          <w:rtl/>
        </w:rPr>
      </w:pPr>
      <w:bookmarkStart w:id="8" w:name="bookmark_2210"/>
      <w:r>
        <w:rPr>
          <w:rFonts w:ascii="Traditional Arabic" w:hAnsi="Traditional Arabic" w:cs="Traditional Arabic"/>
          <w:sz w:val="30"/>
          <w:szCs w:val="30"/>
          <w:rtl/>
          <w:lang w:eastAsia="zh-TW"/>
        </w:rPr>
        <w:tab/>
      </w:r>
      <w:r w:rsidRPr="000D3A6C">
        <w:rPr>
          <w:rFonts w:ascii="Traditional Arabic" w:hAnsi="Traditional Arabic" w:cs="Traditional Arabic" w:hint="cs"/>
          <w:i/>
          <w:iCs/>
          <w:sz w:val="30"/>
          <w:szCs w:val="30"/>
          <w:rtl/>
          <w:lang w:eastAsia="zh-TW"/>
        </w:rPr>
        <w:t>يطلب</w:t>
      </w:r>
      <w:r w:rsidRPr="000D3A6C">
        <w:rPr>
          <w:rFonts w:ascii="Traditional Arabic" w:hAnsi="Traditional Arabic" w:cs="Traditional Arabic" w:hint="cs"/>
          <w:sz w:val="30"/>
          <w:szCs w:val="30"/>
          <w:rtl/>
          <w:lang w:eastAsia="zh-TW"/>
        </w:rPr>
        <w:t xml:space="preserve"> إلى أمانة اتفاقية </w:t>
      </w:r>
      <w:proofErr w:type="spellStart"/>
      <w:r w:rsidRPr="000D3A6C">
        <w:rPr>
          <w:rFonts w:ascii="Traditional Arabic" w:hAnsi="Traditional Arabic" w:cs="Traditional Arabic" w:hint="cs"/>
          <w:sz w:val="30"/>
          <w:szCs w:val="30"/>
          <w:rtl/>
          <w:lang w:eastAsia="zh-TW"/>
        </w:rPr>
        <w:t>ميناماتا</w:t>
      </w:r>
      <w:proofErr w:type="spellEnd"/>
      <w:r w:rsidRPr="000D3A6C">
        <w:rPr>
          <w:rFonts w:ascii="Traditional Arabic" w:hAnsi="Traditional Arabic" w:cs="Traditional Arabic" w:hint="cs"/>
          <w:sz w:val="30"/>
          <w:szCs w:val="30"/>
          <w:rtl/>
          <w:lang w:eastAsia="zh-TW"/>
        </w:rPr>
        <w:t>، رهنا</w:t>
      </w:r>
      <w:r>
        <w:rPr>
          <w:rFonts w:ascii="Traditional Arabic" w:hAnsi="Traditional Arabic" w:cs="Traditional Arabic" w:hint="cs"/>
          <w:sz w:val="30"/>
          <w:szCs w:val="30"/>
          <w:rtl/>
          <w:lang w:eastAsia="zh-TW"/>
        </w:rPr>
        <w:t>ً</w:t>
      </w:r>
      <w:r w:rsidRPr="000D3A6C">
        <w:rPr>
          <w:rFonts w:ascii="Traditional Arabic" w:hAnsi="Traditional Arabic" w:cs="Traditional Arabic" w:hint="cs"/>
          <w:sz w:val="30"/>
          <w:szCs w:val="30"/>
          <w:rtl/>
          <w:lang w:eastAsia="zh-TW"/>
        </w:rPr>
        <w:t xml:space="preserve"> بتوافر الموارد، أن تجمع المعلومات عن العمل الذي تقوم به الترتيبات الإقليمية ودون الإقليمية والوطنية القائمة في توفير بناء القدرات والمساعدة التقنية لمساعدة الأطراف في تنفيذ التزاماتها بموجب اتفاقية </w:t>
      </w:r>
      <w:proofErr w:type="spellStart"/>
      <w:r w:rsidRPr="000D3A6C">
        <w:rPr>
          <w:rFonts w:ascii="Traditional Arabic" w:hAnsi="Traditional Arabic" w:cs="Traditional Arabic" w:hint="cs"/>
          <w:sz w:val="30"/>
          <w:szCs w:val="30"/>
          <w:rtl/>
          <w:lang w:eastAsia="zh-TW"/>
        </w:rPr>
        <w:t>ميناماتا</w:t>
      </w:r>
      <w:proofErr w:type="spellEnd"/>
      <w:r w:rsidRPr="000D3A6C">
        <w:rPr>
          <w:rFonts w:ascii="Traditional Arabic" w:hAnsi="Traditional Arabic" w:cs="Traditional Arabic" w:hint="cs"/>
          <w:sz w:val="30"/>
          <w:szCs w:val="30"/>
          <w:rtl/>
          <w:lang w:eastAsia="zh-TW"/>
        </w:rPr>
        <w:t>، وأن تقدم تقريراً عن ذلك إلى مؤتمر الأطراف في اجتماعه الثاني.</w:t>
      </w:r>
      <w:bookmarkEnd w:id="8"/>
    </w:p>
    <w:sectPr w:rsidR="00EA1C1B" w:rsidRPr="002B6C07"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485C" w14:textId="77777777" w:rsidR="00B6393C" w:rsidRDefault="00B6393C">
      <w:r>
        <w:separator/>
      </w:r>
    </w:p>
  </w:endnote>
  <w:endnote w:type="continuationSeparator" w:id="0">
    <w:p w14:paraId="4938FC6F" w14:textId="77777777" w:rsidR="00B6393C" w:rsidRDefault="00B6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8112" w14:textId="77777777" w:rsidR="00B6393C" w:rsidRDefault="00B6393C" w:rsidP="008A79DC">
      <w:pPr>
        <w:bidi/>
        <w:ind w:left="720"/>
      </w:pPr>
      <w:r>
        <w:separator/>
      </w:r>
    </w:p>
  </w:footnote>
  <w:footnote w:type="continuationSeparator" w:id="0">
    <w:p w14:paraId="3C7B801E" w14:textId="77777777" w:rsidR="00B6393C" w:rsidRDefault="00B6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6" w14:textId="04FC0DD0"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603C2D">
      <w:rPr>
        <w:rFonts w:cs="Times New Roman"/>
        <w:b/>
        <w:bCs/>
        <w:sz w:val="17"/>
        <w:szCs w:val="17"/>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1FD" w14:textId="25D7A8B2"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B1604D">
      <w:rPr>
        <w:rFonts w:cs="Times New Roman"/>
        <w:b/>
        <w:bCs/>
        <w:sz w:val="17"/>
        <w:szCs w:val="1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0685122"/>
    <w:multiLevelType w:val="hybridMultilevel"/>
    <w:tmpl w:val="7ED4314C"/>
    <w:lvl w:ilvl="0" w:tplc="EC5E607C">
      <w:start w:val="1"/>
      <w:numFmt w:val="decimal"/>
      <w:lvlText w:val="%1-"/>
      <w:lvlJc w:val="left"/>
      <w:pPr>
        <w:ind w:left="1852" w:hanging="360"/>
      </w:pPr>
      <w:rPr>
        <w:rFonts w:cs="Traditional Arabic" w:hint="cs"/>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ascii="Wingdings" w:eastAsia="Times New Roman" w:hAnsi="Wingdings" w:cs="Traditional Arabic" w:hint="default"/>
        <w:color w:val="000000"/>
        <w:sz w:val="24"/>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E256954E">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4730530C" w:tentative="1">
        <w:start w:val="1"/>
        <w:numFmt w:val="lowerLetter"/>
        <w:lvlText w:val="%2."/>
        <w:lvlJc w:val="left"/>
        <w:pPr>
          <w:ind w:left="1440" w:hanging="360"/>
        </w:pPr>
      </w:lvl>
    </w:lvlOverride>
    <w:lvlOverride w:ilvl="2">
      <w:lvl w:ilvl="2" w:tplc="63BEF774" w:tentative="1">
        <w:start w:val="1"/>
        <w:numFmt w:val="lowerRoman"/>
        <w:lvlText w:val="%3."/>
        <w:lvlJc w:val="right"/>
        <w:pPr>
          <w:ind w:left="2160" w:hanging="180"/>
        </w:pPr>
      </w:lvl>
    </w:lvlOverride>
    <w:lvlOverride w:ilvl="3">
      <w:lvl w:ilvl="3" w:tplc="CE9CE79E" w:tentative="1">
        <w:start w:val="1"/>
        <w:numFmt w:val="decimal"/>
        <w:lvlText w:val="%4."/>
        <w:lvlJc w:val="left"/>
        <w:pPr>
          <w:ind w:left="2880" w:hanging="360"/>
        </w:pPr>
      </w:lvl>
    </w:lvlOverride>
    <w:lvlOverride w:ilvl="4">
      <w:lvl w:ilvl="4" w:tplc="274E631E" w:tentative="1">
        <w:start w:val="1"/>
        <w:numFmt w:val="lowerLetter"/>
        <w:lvlText w:val="%5."/>
        <w:lvlJc w:val="left"/>
        <w:pPr>
          <w:ind w:left="3600" w:hanging="360"/>
        </w:pPr>
      </w:lvl>
    </w:lvlOverride>
    <w:lvlOverride w:ilvl="5">
      <w:lvl w:ilvl="5" w:tplc="F9A6DEA4" w:tentative="1">
        <w:start w:val="1"/>
        <w:numFmt w:val="lowerRoman"/>
        <w:lvlText w:val="%6."/>
        <w:lvlJc w:val="right"/>
        <w:pPr>
          <w:ind w:left="4320" w:hanging="180"/>
        </w:pPr>
      </w:lvl>
    </w:lvlOverride>
    <w:lvlOverride w:ilvl="6">
      <w:lvl w:ilvl="6" w:tplc="CB9472C8" w:tentative="1">
        <w:start w:val="1"/>
        <w:numFmt w:val="decimal"/>
        <w:lvlText w:val="%7."/>
        <w:lvlJc w:val="left"/>
        <w:pPr>
          <w:ind w:left="5040" w:hanging="360"/>
        </w:pPr>
      </w:lvl>
    </w:lvlOverride>
    <w:lvlOverride w:ilvl="7">
      <w:lvl w:ilvl="7" w:tplc="CD1C52BC" w:tentative="1">
        <w:start w:val="1"/>
        <w:numFmt w:val="lowerLetter"/>
        <w:lvlText w:val="%8."/>
        <w:lvlJc w:val="left"/>
        <w:pPr>
          <w:ind w:left="5760" w:hanging="360"/>
        </w:pPr>
      </w:lvl>
    </w:lvlOverride>
    <w:lvlOverride w:ilvl="8">
      <w:lvl w:ilvl="8" w:tplc="7C3EE7A8" w:tentative="1">
        <w:start w:val="1"/>
        <w:numFmt w:val="lowerRoman"/>
        <w:lvlText w:val="%9."/>
        <w:lvlJc w:val="right"/>
        <w:pPr>
          <w:ind w:left="6480" w:hanging="180"/>
        </w:pPr>
      </w:lvl>
    </w:lvlOverride>
  </w:num>
  <w:num w:numId="20">
    <w:abstractNumId w:val="43"/>
    <w:lvlOverride w:ilvl="0">
      <w:lvl w:ilvl="0" w:tplc="E256954E">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30530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BEF774">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9CE79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4E631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9A6DEA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9472C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1C52B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C3EE7A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E256954E">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30530C">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BEF774">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9CE79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4E631E">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9A6DEA4">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9472C8">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1C52B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C3EE7A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3FE3"/>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3C2D"/>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6894"/>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393C"/>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4"/>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6"/>
      </w:numPr>
    </w:pPr>
  </w:style>
  <w:style w:type="numbering" w:customStyle="1" w:styleId="Importeradestilen5">
    <w:name w:val="Importerade stilen 5"/>
    <w:rsid w:val="00EA1C1B"/>
    <w:pPr>
      <w:numPr>
        <w:numId w:val="7"/>
      </w:numPr>
    </w:pPr>
  </w:style>
  <w:style w:type="numbering" w:customStyle="1" w:styleId="Importeradestilen3">
    <w:name w:val="Importerade stilen 3"/>
    <w:rsid w:val="00EA1C1B"/>
    <w:pPr>
      <w:numPr>
        <w:numId w:val="5"/>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9"/>
      </w:numPr>
    </w:pPr>
  </w:style>
  <w:style w:type="numbering" w:customStyle="1" w:styleId="ImportedStyle2">
    <w:name w:val="Imported Style 2"/>
    <w:rsid w:val="00EA1C1B"/>
    <w:pPr>
      <w:numPr>
        <w:numId w:val="10"/>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2"/>
      </w:numPr>
    </w:pPr>
  </w:style>
  <w:style w:type="numbering" w:customStyle="1" w:styleId="Importeradestilen15">
    <w:name w:val="Importerade stilen 15"/>
    <w:rsid w:val="00EA1C1B"/>
    <w:pPr>
      <w:numPr>
        <w:numId w:val="13"/>
      </w:numPr>
    </w:pPr>
  </w:style>
  <w:style w:type="numbering" w:customStyle="1" w:styleId="Importeradestilen12">
    <w:name w:val="Importerade stilen 12"/>
    <w:rsid w:val="00EA1C1B"/>
    <w:pPr>
      <w:numPr>
        <w:numId w:val="11"/>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2.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4.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3</cp:revision>
  <cp:lastPrinted>2018-02-09T11:19:00Z</cp:lastPrinted>
  <dcterms:created xsi:type="dcterms:W3CDTF">2020-12-17T15:17:00Z</dcterms:created>
  <dcterms:modified xsi:type="dcterms:W3CDTF">2020-12-17T15:20:00Z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