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8E4D6C" w14:paraId="4B9F0F9B" w14:textId="77777777" w:rsidTr="00E976AB">
        <w:trPr>
          <w:cantSplit/>
          <w:trHeight w:val="850"/>
          <w:jc w:val="right"/>
        </w:trPr>
        <w:tc>
          <w:tcPr>
            <w:tcW w:w="1560" w:type="dxa"/>
          </w:tcPr>
          <w:p w14:paraId="2A9B9F9D" w14:textId="5D52BB23" w:rsidR="00032E4E" w:rsidRPr="008E4D6C" w:rsidRDefault="00032E4E" w:rsidP="00023DA9">
            <w:pPr>
              <w:rPr>
                <w:rFonts w:ascii="Univers" w:hAnsi="Univers"/>
                <w:b/>
                <w:sz w:val="27"/>
                <w:szCs w:val="27"/>
              </w:rPr>
            </w:pPr>
            <w:r w:rsidRPr="008E4D6C">
              <w:rPr>
                <w:rFonts w:ascii="Arial" w:hAnsi="Arial" w:cs="Arial"/>
                <w:b/>
                <w:sz w:val="27"/>
                <w:szCs w:val="27"/>
              </w:rPr>
              <w:t>NATIONS</w:t>
            </w:r>
            <w:r w:rsidR="00FD27BC" w:rsidRPr="008E4D6C">
              <w:rPr>
                <w:rFonts w:ascii="Arial" w:hAnsi="Arial" w:cs="Arial"/>
                <w:b/>
                <w:sz w:val="27"/>
                <w:szCs w:val="27"/>
              </w:rPr>
              <w:br/>
              <w:t>UNIES</w:t>
            </w:r>
          </w:p>
        </w:tc>
        <w:tc>
          <w:tcPr>
            <w:tcW w:w="4785" w:type="dxa"/>
          </w:tcPr>
          <w:p w14:paraId="2F47229A" w14:textId="77777777" w:rsidR="00032E4E" w:rsidRPr="008E4D6C" w:rsidRDefault="00032E4E" w:rsidP="00023DA9">
            <w:pPr>
              <w:rPr>
                <w:rFonts w:ascii="Univers" w:hAnsi="Univers"/>
                <w:b/>
                <w:sz w:val="27"/>
                <w:szCs w:val="27"/>
              </w:rPr>
            </w:pPr>
          </w:p>
        </w:tc>
        <w:tc>
          <w:tcPr>
            <w:tcW w:w="3435" w:type="dxa"/>
          </w:tcPr>
          <w:p w14:paraId="57073C3F" w14:textId="77777777" w:rsidR="00032E4E" w:rsidRPr="008E4D6C" w:rsidRDefault="00787688" w:rsidP="00023DA9">
            <w:pPr>
              <w:jc w:val="right"/>
              <w:rPr>
                <w:rFonts w:ascii="Arial" w:hAnsi="Arial" w:cs="Arial"/>
                <w:b/>
                <w:sz w:val="64"/>
                <w:szCs w:val="64"/>
              </w:rPr>
            </w:pPr>
            <w:r w:rsidRPr="008E4D6C">
              <w:rPr>
                <w:rFonts w:ascii="Arial" w:hAnsi="Arial" w:cs="Arial"/>
                <w:b/>
                <w:sz w:val="64"/>
                <w:szCs w:val="64"/>
              </w:rPr>
              <w:t>MC</w:t>
            </w:r>
          </w:p>
        </w:tc>
      </w:tr>
      <w:tr w:rsidR="00032E4E" w:rsidRPr="008E4D6C" w14:paraId="0DEAC680" w14:textId="77777777" w:rsidTr="00E976AB">
        <w:trPr>
          <w:cantSplit/>
          <w:trHeight w:val="281"/>
          <w:jc w:val="right"/>
        </w:trPr>
        <w:tc>
          <w:tcPr>
            <w:tcW w:w="1560" w:type="dxa"/>
            <w:tcBorders>
              <w:bottom w:val="single" w:sz="4" w:space="0" w:color="auto"/>
            </w:tcBorders>
          </w:tcPr>
          <w:p w14:paraId="30269B88" w14:textId="77777777" w:rsidR="00032E4E" w:rsidRPr="008E4D6C" w:rsidRDefault="00032E4E" w:rsidP="00023DA9">
            <w:pPr>
              <w:rPr>
                <w:sz w:val="18"/>
                <w:szCs w:val="18"/>
              </w:rPr>
            </w:pPr>
          </w:p>
        </w:tc>
        <w:tc>
          <w:tcPr>
            <w:tcW w:w="4785" w:type="dxa"/>
            <w:tcBorders>
              <w:bottom w:val="single" w:sz="4" w:space="0" w:color="auto"/>
            </w:tcBorders>
          </w:tcPr>
          <w:p w14:paraId="54296B4D" w14:textId="77777777" w:rsidR="00032E4E" w:rsidRPr="008E4D6C" w:rsidRDefault="00032E4E" w:rsidP="00023DA9">
            <w:pPr>
              <w:rPr>
                <w:rFonts w:ascii="Univers" w:hAnsi="Univers"/>
                <w:b/>
                <w:sz w:val="18"/>
                <w:szCs w:val="18"/>
              </w:rPr>
            </w:pPr>
          </w:p>
        </w:tc>
        <w:tc>
          <w:tcPr>
            <w:tcW w:w="3435" w:type="dxa"/>
            <w:tcBorders>
              <w:bottom w:val="single" w:sz="4" w:space="0" w:color="auto"/>
            </w:tcBorders>
          </w:tcPr>
          <w:p w14:paraId="540639F8" w14:textId="11C4CC0B" w:rsidR="00032E4E" w:rsidRPr="008E4D6C" w:rsidRDefault="00032E4E" w:rsidP="00787688">
            <w:pPr>
              <w:rPr>
                <w:sz w:val="18"/>
                <w:szCs w:val="18"/>
              </w:rPr>
            </w:pPr>
            <w:r w:rsidRPr="008E4D6C">
              <w:rPr>
                <w:b/>
                <w:bCs/>
                <w:sz w:val="28"/>
              </w:rPr>
              <w:t>UNEP</w:t>
            </w:r>
            <w:bookmarkStart w:id="0" w:name="OLE_LINK1"/>
            <w:bookmarkStart w:id="1" w:name="OLE_LINK2"/>
            <w:r w:rsidR="00787688" w:rsidRPr="008E4D6C">
              <w:rPr>
                <w:b/>
                <w:bCs/>
                <w:sz w:val="28"/>
              </w:rPr>
              <w:t>/</w:t>
            </w:r>
            <w:r w:rsidR="00787688" w:rsidRPr="008E4D6C">
              <w:t>MC</w:t>
            </w:r>
            <w:r w:rsidRPr="008E4D6C">
              <w:t>/</w:t>
            </w:r>
            <w:bookmarkEnd w:id="0"/>
            <w:bookmarkEnd w:id="1"/>
            <w:r w:rsidR="00787688" w:rsidRPr="008E4D6C">
              <w:t>COP.1</w:t>
            </w:r>
            <w:r w:rsidRPr="008E4D6C">
              <w:t>/</w:t>
            </w:r>
            <w:r w:rsidR="00AE5B5A">
              <w:t>Dec.</w:t>
            </w:r>
            <w:r w:rsidR="004C570A">
              <w:t>20</w:t>
            </w:r>
          </w:p>
        </w:tc>
      </w:tr>
      <w:bookmarkStart w:id="2" w:name="_MON_1021710482"/>
      <w:bookmarkEnd w:id="2"/>
      <w:bookmarkStart w:id="3" w:name="_MON_1021710510"/>
      <w:bookmarkEnd w:id="3"/>
      <w:tr w:rsidR="00032E4E" w:rsidRPr="008E4D6C" w14:paraId="34AA74B4" w14:textId="77777777" w:rsidTr="00E976AB">
        <w:trPr>
          <w:cantSplit/>
          <w:trHeight w:val="2549"/>
          <w:jc w:val="right"/>
        </w:trPr>
        <w:tc>
          <w:tcPr>
            <w:tcW w:w="1560" w:type="dxa"/>
            <w:tcBorders>
              <w:top w:val="single" w:sz="4" w:space="0" w:color="auto"/>
              <w:bottom w:val="single" w:sz="24" w:space="0" w:color="auto"/>
            </w:tcBorders>
          </w:tcPr>
          <w:p w14:paraId="02CDC318" w14:textId="77777777" w:rsidR="00032E4E" w:rsidRPr="008E4D6C" w:rsidRDefault="00032E4E" w:rsidP="00023DA9">
            <w:r w:rsidRPr="008E4D6C">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11" o:title=""/>
                </v:shape>
                <o:OLEObject Type="Embed" ProgID="Word.Picture.8" ShapeID="_x0000_i1025" DrawAspect="Content" ObjectID="_1666432824" r:id="rId12"/>
              </w:object>
            </w:r>
            <w:r w:rsidR="00011A16" w:rsidRPr="008E4D6C">
              <w:rPr>
                <w:noProof/>
                <w:lang w:val="en-GB"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2AC211BD" w14:textId="13D00ED4" w:rsidR="00032E4E" w:rsidRPr="008E4D6C" w:rsidRDefault="00032E4E" w:rsidP="00023DA9">
            <w:pPr>
              <w:spacing w:before="1200"/>
              <w:rPr>
                <w:rFonts w:ascii="Arial" w:hAnsi="Arial" w:cs="Arial"/>
                <w:b/>
                <w:sz w:val="28"/>
              </w:rPr>
            </w:pPr>
            <w:r w:rsidRPr="008E4D6C">
              <w:rPr>
                <w:rFonts w:ascii="Arial" w:hAnsi="Arial" w:cs="Arial"/>
                <w:b/>
                <w:sz w:val="32"/>
                <w:szCs w:val="32"/>
              </w:rPr>
              <w:t>Programme</w:t>
            </w:r>
            <w:r w:rsidR="00FD27BC" w:rsidRPr="008E4D6C">
              <w:rPr>
                <w:rFonts w:ascii="Arial" w:hAnsi="Arial" w:cs="Arial"/>
                <w:b/>
                <w:sz w:val="32"/>
                <w:szCs w:val="32"/>
              </w:rPr>
              <w:br/>
              <w:t>des Nations Unies</w:t>
            </w:r>
            <w:r w:rsidR="00FD27BC" w:rsidRPr="008E4D6C">
              <w:rPr>
                <w:rFonts w:ascii="Arial" w:hAnsi="Arial" w:cs="Arial"/>
                <w:b/>
                <w:sz w:val="32"/>
                <w:szCs w:val="32"/>
              </w:rPr>
              <w:br/>
              <w:t>pour l</w:t>
            </w:r>
            <w:r w:rsidR="004618B1" w:rsidRPr="008E4D6C">
              <w:rPr>
                <w:rFonts w:ascii="Arial" w:hAnsi="Arial" w:cs="Arial"/>
                <w:b/>
                <w:sz w:val="32"/>
                <w:szCs w:val="32"/>
              </w:rPr>
              <w:t>’</w:t>
            </w:r>
            <w:r w:rsidR="00FD27BC" w:rsidRPr="008E4D6C">
              <w:rPr>
                <w:rFonts w:ascii="Arial" w:hAnsi="Arial" w:cs="Arial"/>
                <w:b/>
                <w:sz w:val="32"/>
                <w:szCs w:val="32"/>
              </w:rPr>
              <w:t>environnement</w:t>
            </w:r>
          </w:p>
        </w:tc>
        <w:tc>
          <w:tcPr>
            <w:tcW w:w="3435" w:type="dxa"/>
            <w:tcBorders>
              <w:top w:val="single" w:sz="4" w:space="0" w:color="auto"/>
              <w:bottom w:val="single" w:sz="24" w:space="0" w:color="auto"/>
            </w:tcBorders>
          </w:tcPr>
          <w:p w14:paraId="722F44F8" w14:textId="6D731999" w:rsidR="00032E4E" w:rsidRPr="008E4D6C" w:rsidRDefault="00FD27BC" w:rsidP="00787688">
            <w:pPr>
              <w:spacing w:before="120"/>
            </w:pPr>
            <w:proofErr w:type="spellStart"/>
            <w:r w:rsidRPr="008E4D6C">
              <w:t>Distr</w:t>
            </w:r>
            <w:proofErr w:type="spellEnd"/>
            <w:r w:rsidRPr="008E4D6C">
              <w:t>.</w:t>
            </w:r>
            <w:r w:rsidR="005A3438" w:rsidRPr="008E4D6C">
              <w:t> </w:t>
            </w:r>
            <w:r w:rsidR="005B5674" w:rsidRPr="008E4D6C">
              <w:t>général</w:t>
            </w:r>
            <w:r w:rsidR="001E3AA2" w:rsidRPr="008E4D6C">
              <w:t>e</w:t>
            </w:r>
            <w:r w:rsidR="009F4431" w:rsidRPr="008E4D6C">
              <w:t xml:space="preserve"> </w:t>
            </w:r>
            <w:r w:rsidR="009F4431" w:rsidRPr="008E4D6C">
              <w:br/>
            </w:r>
            <w:r w:rsidR="009F5613" w:rsidRPr="008E4D6C">
              <w:t>2</w:t>
            </w:r>
            <w:r w:rsidR="002B6354" w:rsidRPr="008E4D6C">
              <w:t>2 novembre</w:t>
            </w:r>
            <w:r w:rsidRPr="008E4D6C">
              <w:t xml:space="preserve"> </w:t>
            </w:r>
            <w:r w:rsidR="0042266F" w:rsidRPr="008E4D6C">
              <w:t>2017</w:t>
            </w:r>
          </w:p>
          <w:p w14:paraId="1A75CF9D" w14:textId="4D17F679" w:rsidR="00032E4E" w:rsidRPr="008E4D6C" w:rsidRDefault="00FD27BC" w:rsidP="00FD27BC">
            <w:pPr>
              <w:spacing w:before="240"/>
            </w:pPr>
            <w:r w:rsidRPr="008E4D6C">
              <w:t>Français</w:t>
            </w:r>
            <w:r w:rsidRPr="008E4D6C">
              <w:br/>
            </w:r>
            <w:r w:rsidR="00032E4E" w:rsidRPr="008E4D6C">
              <w:t>Original</w:t>
            </w:r>
            <w:r w:rsidR="00A84383" w:rsidRPr="008E4D6C">
              <w:t> :</w:t>
            </w:r>
            <w:r w:rsidRPr="008E4D6C">
              <w:t xml:space="preserve"> anglais</w:t>
            </w:r>
          </w:p>
        </w:tc>
      </w:tr>
    </w:tbl>
    <w:p w14:paraId="0A4BFFDA" w14:textId="5169E9DF" w:rsidR="00E976AB" w:rsidRPr="008E4D6C" w:rsidRDefault="00FD27BC" w:rsidP="00E30EAC">
      <w:pPr>
        <w:pStyle w:val="Normal-pool"/>
        <w:rPr>
          <w:b/>
          <w:lang w:val="fr-FR"/>
        </w:rPr>
      </w:pPr>
      <w:r w:rsidRPr="008E4D6C">
        <w:rPr>
          <w:b/>
          <w:lang w:val="fr-FR"/>
        </w:rPr>
        <w:t>C</w:t>
      </w:r>
      <w:r w:rsidR="00921098" w:rsidRPr="008E4D6C">
        <w:rPr>
          <w:b/>
          <w:lang w:val="fr-FR"/>
        </w:rPr>
        <w:t xml:space="preserve">onférence des Parties </w:t>
      </w:r>
      <w:r w:rsidR="00292693" w:rsidRPr="008E4D6C">
        <w:rPr>
          <w:b/>
          <w:lang w:val="fr-FR"/>
        </w:rPr>
        <w:br/>
      </w:r>
      <w:r w:rsidR="00921098" w:rsidRPr="008E4D6C">
        <w:rPr>
          <w:b/>
          <w:lang w:val="fr-FR"/>
        </w:rPr>
        <w:t>à la C</w:t>
      </w:r>
      <w:r w:rsidRPr="008E4D6C">
        <w:rPr>
          <w:b/>
          <w:lang w:val="fr-FR"/>
        </w:rPr>
        <w:t xml:space="preserve">onvention de </w:t>
      </w:r>
      <w:r w:rsidR="00787688" w:rsidRPr="008E4D6C">
        <w:rPr>
          <w:b/>
          <w:lang w:val="fr-FR"/>
        </w:rPr>
        <w:t xml:space="preserve">Minamata </w:t>
      </w:r>
      <w:r w:rsidRPr="008E4D6C">
        <w:rPr>
          <w:b/>
          <w:lang w:val="fr-FR"/>
        </w:rPr>
        <w:t>sur le mercure</w:t>
      </w:r>
    </w:p>
    <w:p w14:paraId="26A6CAA0" w14:textId="7102D31E" w:rsidR="00E976AB" w:rsidRPr="008E4D6C" w:rsidRDefault="00FD27BC" w:rsidP="00E30EAC">
      <w:pPr>
        <w:pStyle w:val="Normal-pool"/>
        <w:rPr>
          <w:b/>
          <w:lang w:val="fr-FR"/>
        </w:rPr>
      </w:pPr>
      <w:r w:rsidRPr="008E4D6C">
        <w:rPr>
          <w:b/>
          <w:lang w:val="fr-FR"/>
        </w:rPr>
        <w:t>Première réunion</w:t>
      </w:r>
    </w:p>
    <w:p w14:paraId="67B82F12" w14:textId="4F5EEE18" w:rsidR="00787688" w:rsidRPr="008E4D6C" w:rsidRDefault="00FD27BC" w:rsidP="00E30EAC">
      <w:pPr>
        <w:pStyle w:val="Normal-pool"/>
        <w:rPr>
          <w:b/>
          <w:lang w:val="fr-FR"/>
        </w:rPr>
      </w:pPr>
      <w:r w:rsidRPr="008E4D6C">
        <w:rPr>
          <w:lang w:val="fr-FR"/>
        </w:rPr>
        <w:t>Genève</w:t>
      </w:r>
      <w:r w:rsidR="00E976AB" w:rsidRPr="008E4D6C">
        <w:rPr>
          <w:lang w:val="fr-FR"/>
        </w:rPr>
        <w:t xml:space="preserve">, </w:t>
      </w:r>
      <w:r w:rsidRPr="008E4D6C">
        <w:rPr>
          <w:lang w:val="fr-FR"/>
        </w:rPr>
        <w:t>24–29 septembre</w:t>
      </w:r>
      <w:r w:rsidR="00325D38" w:rsidRPr="008E4D6C">
        <w:rPr>
          <w:lang w:val="fr-FR"/>
        </w:rPr>
        <w:t xml:space="preserve"> </w:t>
      </w:r>
      <w:r w:rsidR="00787688" w:rsidRPr="008E4D6C">
        <w:rPr>
          <w:lang w:val="fr-FR"/>
        </w:rPr>
        <w:t>2017</w:t>
      </w:r>
    </w:p>
    <w:p w14:paraId="29516043" w14:textId="1C855FBE" w:rsidR="002907D8" w:rsidRDefault="00B42858" w:rsidP="002907D8">
      <w:pPr>
        <w:pStyle w:val="CH1"/>
        <w:rPr>
          <w:lang w:val="fr-FR"/>
        </w:rPr>
      </w:pPr>
      <w:r w:rsidRPr="008E4D6C">
        <w:rPr>
          <w:lang w:val="fr-FR"/>
        </w:rPr>
        <w:tab/>
      </w:r>
      <w:r w:rsidRPr="008E4D6C">
        <w:rPr>
          <w:lang w:val="fr-FR"/>
        </w:rPr>
        <w:tab/>
      </w:r>
      <w:r w:rsidR="00A44E63">
        <w:t>Décision adoptée par la première Conférence des Parties à la Convention de Minamata sur le mercure</w:t>
      </w:r>
      <w:bookmarkStart w:id="4" w:name="_GoBack"/>
      <w:bookmarkEnd w:id="4"/>
    </w:p>
    <w:p w14:paraId="6FE6FE53" w14:textId="77777777" w:rsidR="004C570A" w:rsidRPr="008E4D6C" w:rsidRDefault="004C570A" w:rsidP="004C570A">
      <w:pPr>
        <w:pStyle w:val="BBTitle"/>
        <w:spacing w:before="360" w:after="120"/>
        <w:outlineLvl w:val="0"/>
        <w:rPr>
          <w:sz w:val="24"/>
          <w:szCs w:val="24"/>
          <w:lang w:val="fr-FR"/>
        </w:rPr>
      </w:pPr>
      <w:bookmarkStart w:id="5" w:name="_Toc504974169"/>
      <w:bookmarkStart w:id="6" w:name="_Toc504918994"/>
      <w:r w:rsidRPr="008E4D6C">
        <w:rPr>
          <w:sz w:val="24"/>
          <w:szCs w:val="24"/>
          <w:lang w:val="fr-FR"/>
        </w:rPr>
        <w:t>MC-1/20 : Orientations sur la gestion des sites contaminés</w:t>
      </w:r>
      <w:bookmarkEnd w:id="5"/>
      <w:bookmarkEnd w:id="6"/>
    </w:p>
    <w:p w14:paraId="0BB7A413" w14:textId="77777777" w:rsidR="004C570A" w:rsidRPr="008E4D6C" w:rsidRDefault="004C570A" w:rsidP="004C570A">
      <w:pPr>
        <w:pStyle w:val="NormalNonumber"/>
        <w:tabs>
          <w:tab w:val="left" w:pos="624"/>
        </w:tabs>
        <w:ind w:firstLine="624"/>
        <w:rPr>
          <w:b/>
          <w:i/>
          <w:iCs/>
          <w:lang w:val="fr-FR"/>
        </w:rPr>
      </w:pPr>
      <w:r w:rsidRPr="008E4D6C">
        <w:rPr>
          <w:i/>
          <w:iCs/>
          <w:lang w:val="fr-FR"/>
        </w:rPr>
        <w:t>La Conférence des Parties,</w:t>
      </w:r>
    </w:p>
    <w:p w14:paraId="1F1E325D" w14:textId="77777777" w:rsidR="004C570A" w:rsidRPr="008E4D6C" w:rsidRDefault="004C570A" w:rsidP="004C570A">
      <w:pPr>
        <w:pStyle w:val="NormalNonumber"/>
        <w:ind w:left="1248" w:firstLine="623"/>
        <w:rPr>
          <w:lang w:val="fr-FR"/>
        </w:rPr>
      </w:pPr>
      <w:r w:rsidRPr="008E4D6C">
        <w:rPr>
          <w:i/>
          <w:iCs/>
          <w:lang w:val="fr-FR"/>
        </w:rPr>
        <w:t xml:space="preserve">Approuve </w:t>
      </w:r>
      <w:r w:rsidRPr="008E4D6C">
        <w:rPr>
          <w:lang w:val="fr-FR"/>
        </w:rPr>
        <w:t>l’élaboration d’un projet d’orientations sur la gestion des sites contaminés conformément au programme de travail défini dans la feuille de route figurant dans l’annexe I de la présente décision et sur la base du projet de structure et de contenu figurant dans l’annexe II de la présente décision.</w:t>
      </w:r>
    </w:p>
    <w:p w14:paraId="647EDBDF" w14:textId="77777777" w:rsidR="004C570A" w:rsidRPr="008E4D6C" w:rsidRDefault="004C570A" w:rsidP="004C570A">
      <w:pPr>
        <w:pStyle w:val="ZZAnxheader"/>
        <w:spacing w:before="240" w:after="120"/>
        <w:rPr>
          <w:sz w:val="24"/>
          <w:szCs w:val="24"/>
          <w:lang w:val="fr-FR"/>
        </w:rPr>
      </w:pPr>
      <w:r w:rsidRPr="008E4D6C">
        <w:rPr>
          <w:sz w:val="24"/>
          <w:szCs w:val="24"/>
          <w:lang w:val="fr-FR"/>
        </w:rPr>
        <w:tab/>
        <w:t>Annexe I à la décision MC-1/20</w:t>
      </w:r>
    </w:p>
    <w:p w14:paraId="71C5DBCA" w14:textId="77777777" w:rsidR="004C570A" w:rsidRPr="008E4D6C" w:rsidRDefault="004C570A" w:rsidP="004C570A">
      <w:pPr>
        <w:pStyle w:val="ZZAnxtitle"/>
        <w:spacing w:before="80"/>
        <w:rPr>
          <w:sz w:val="24"/>
          <w:szCs w:val="24"/>
          <w:lang w:val="fr-FR"/>
        </w:rPr>
      </w:pPr>
      <w:r w:rsidRPr="008E4D6C">
        <w:rPr>
          <w:sz w:val="24"/>
          <w:szCs w:val="24"/>
          <w:lang w:val="fr-FR"/>
        </w:rPr>
        <w:t>Feuille de route pour l’élaboration d’un document d’orientation sur la gestion des sites contaminés</w:t>
      </w:r>
    </w:p>
    <w:tbl>
      <w:tblPr>
        <w:tblW w:w="8363"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5854"/>
        <w:gridCol w:w="2509"/>
      </w:tblGrid>
      <w:tr w:rsidR="004C570A" w:rsidRPr="008E4D6C" w14:paraId="4ED3E45A" w14:textId="77777777" w:rsidTr="005E7BE1">
        <w:trPr>
          <w:trHeight w:val="212"/>
          <w:jc w:val="right"/>
        </w:trPr>
        <w:tc>
          <w:tcPr>
            <w:tcW w:w="5854" w:type="dxa"/>
            <w:tcBorders>
              <w:top w:val="single" w:sz="4" w:space="0" w:color="000000"/>
              <w:left w:val="nil"/>
              <w:bottom w:val="single" w:sz="12" w:space="0" w:color="000000"/>
              <w:right w:val="nil"/>
            </w:tcBorders>
            <w:tcMar>
              <w:top w:w="80" w:type="dxa"/>
              <w:left w:w="80" w:type="dxa"/>
              <w:bottom w:w="80" w:type="dxa"/>
              <w:right w:w="80" w:type="dxa"/>
            </w:tcMar>
          </w:tcPr>
          <w:p w14:paraId="4E8DD628" w14:textId="77777777" w:rsidR="004C570A" w:rsidRPr="008E4D6C" w:rsidRDefault="004C570A" w:rsidP="005E7BE1">
            <w:pPr>
              <w:pStyle w:val="Brdtext"/>
              <w:tabs>
                <w:tab w:val="clear" w:pos="1247"/>
                <w:tab w:val="clear" w:pos="1814"/>
                <w:tab w:val="clear" w:pos="2381"/>
                <w:tab w:val="clear" w:pos="2948"/>
                <w:tab w:val="clear" w:pos="3515"/>
                <w:tab w:val="left" w:pos="624"/>
              </w:tabs>
              <w:spacing w:before="40" w:after="40"/>
              <w:rPr>
                <w:i/>
                <w:color w:val="auto"/>
                <w:sz w:val="18"/>
                <w:szCs w:val="18"/>
                <w:lang w:val="fr-FR"/>
              </w:rPr>
            </w:pPr>
            <w:r w:rsidRPr="008E4D6C">
              <w:rPr>
                <w:i/>
                <w:color w:val="auto"/>
                <w:sz w:val="18"/>
                <w:szCs w:val="18"/>
                <w:lang w:val="fr-FR"/>
              </w:rPr>
              <w:t>Activité</w:t>
            </w:r>
          </w:p>
        </w:tc>
        <w:tc>
          <w:tcPr>
            <w:tcW w:w="2509" w:type="dxa"/>
            <w:tcBorders>
              <w:top w:val="single" w:sz="4" w:space="0" w:color="000000"/>
              <w:left w:val="nil"/>
              <w:bottom w:val="single" w:sz="12" w:space="0" w:color="000000"/>
              <w:right w:val="nil"/>
            </w:tcBorders>
            <w:tcMar>
              <w:top w:w="80" w:type="dxa"/>
              <w:left w:w="80" w:type="dxa"/>
              <w:bottom w:w="80" w:type="dxa"/>
              <w:right w:w="80" w:type="dxa"/>
            </w:tcMar>
          </w:tcPr>
          <w:p w14:paraId="325DAD73" w14:textId="77777777" w:rsidR="004C570A" w:rsidRPr="008E4D6C" w:rsidRDefault="004C570A" w:rsidP="005E7BE1">
            <w:pPr>
              <w:pStyle w:val="Brdtext"/>
              <w:tabs>
                <w:tab w:val="clear" w:pos="1247"/>
                <w:tab w:val="clear" w:pos="1814"/>
                <w:tab w:val="clear" w:pos="2381"/>
                <w:tab w:val="clear" w:pos="2948"/>
                <w:tab w:val="clear" w:pos="3515"/>
                <w:tab w:val="left" w:pos="624"/>
              </w:tabs>
              <w:spacing w:before="40" w:after="40"/>
              <w:ind w:left="224"/>
              <w:rPr>
                <w:i/>
                <w:color w:val="auto"/>
                <w:sz w:val="18"/>
                <w:szCs w:val="18"/>
                <w:lang w:val="fr-FR"/>
              </w:rPr>
            </w:pPr>
            <w:r w:rsidRPr="008E4D6C">
              <w:rPr>
                <w:i/>
                <w:color w:val="auto"/>
                <w:sz w:val="18"/>
                <w:szCs w:val="18"/>
                <w:lang w:val="fr-FR"/>
              </w:rPr>
              <w:t>Date limite</w:t>
            </w:r>
          </w:p>
        </w:tc>
      </w:tr>
      <w:tr w:rsidR="004C570A" w:rsidRPr="008E4D6C" w14:paraId="431F68E8" w14:textId="77777777" w:rsidTr="005E7BE1">
        <w:trPr>
          <w:trHeight w:val="1007"/>
          <w:jc w:val="right"/>
        </w:trPr>
        <w:tc>
          <w:tcPr>
            <w:tcW w:w="5854" w:type="dxa"/>
            <w:tcBorders>
              <w:top w:val="single" w:sz="12" w:space="0" w:color="000000"/>
              <w:left w:val="nil"/>
              <w:bottom w:val="nil"/>
              <w:right w:val="nil"/>
            </w:tcBorders>
            <w:tcMar>
              <w:top w:w="80" w:type="dxa"/>
              <w:left w:w="80" w:type="dxa"/>
              <w:bottom w:w="80" w:type="dxa"/>
              <w:right w:w="80" w:type="dxa"/>
            </w:tcMar>
          </w:tcPr>
          <w:p w14:paraId="31EC26CA" w14:textId="77777777" w:rsidR="004C570A" w:rsidRPr="008E4D6C" w:rsidRDefault="004C570A" w:rsidP="005E7BE1">
            <w:pPr>
              <w:pStyle w:val="Brdtext"/>
              <w:tabs>
                <w:tab w:val="clear" w:pos="1247"/>
                <w:tab w:val="clear" w:pos="1814"/>
                <w:tab w:val="clear" w:pos="2381"/>
                <w:tab w:val="clear" w:pos="2948"/>
                <w:tab w:val="clear" w:pos="3515"/>
                <w:tab w:val="left" w:pos="624"/>
              </w:tabs>
              <w:spacing w:before="40" w:after="40"/>
              <w:rPr>
                <w:color w:val="auto"/>
                <w:sz w:val="18"/>
                <w:szCs w:val="18"/>
                <w:lang w:val="fr-FR"/>
              </w:rPr>
            </w:pPr>
            <w:r w:rsidRPr="008E4D6C">
              <w:rPr>
                <w:color w:val="auto"/>
                <w:sz w:val="18"/>
                <w:szCs w:val="18"/>
                <w:lang w:val="fr-FR"/>
              </w:rPr>
              <w:t xml:space="preserve">La Conférence des Parties établit à sa première réunion un processus d’élaboration du document d’orientation sur la gestion des sites contaminés prévu au paragraphe 3 de l’article 12 de la Convention de Minamata, qu’elle examinera et adoptera à une réunion ultérieure. Les éléments de ce processus figurent dans la feuille de route ci-dessous. </w:t>
            </w:r>
          </w:p>
        </w:tc>
        <w:tc>
          <w:tcPr>
            <w:tcW w:w="2509" w:type="dxa"/>
            <w:tcBorders>
              <w:top w:val="single" w:sz="12" w:space="0" w:color="000000"/>
              <w:left w:val="nil"/>
              <w:bottom w:val="nil"/>
              <w:right w:val="nil"/>
            </w:tcBorders>
            <w:tcMar>
              <w:top w:w="80" w:type="dxa"/>
              <w:left w:w="80" w:type="dxa"/>
              <w:bottom w:w="80" w:type="dxa"/>
              <w:right w:w="80" w:type="dxa"/>
            </w:tcMar>
          </w:tcPr>
          <w:p w14:paraId="4B98E1E8" w14:textId="77777777" w:rsidR="004C570A" w:rsidRPr="008E4D6C" w:rsidRDefault="004C570A" w:rsidP="005E7BE1">
            <w:pPr>
              <w:pStyle w:val="Brdtext"/>
              <w:tabs>
                <w:tab w:val="clear" w:pos="1247"/>
                <w:tab w:val="clear" w:pos="1814"/>
                <w:tab w:val="clear" w:pos="2381"/>
                <w:tab w:val="clear" w:pos="2948"/>
                <w:tab w:val="clear" w:pos="3515"/>
                <w:tab w:val="left" w:pos="624"/>
              </w:tabs>
              <w:spacing w:before="40" w:after="40"/>
              <w:ind w:left="224"/>
              <w:rPr>
                <w:color w:val="auto"/>
                <w:sz w:val="18"/>
                <w:szCs w:val="18"/>
                <w:lang w:val="fr-FR"/>
              </w:rPr>
            </w:pPr>
            <w:r w:rsidRPr="008E4D6C">
              <w:rPr>
                <w:color w:val="auto"/>
                <w:sz w:val="18"/>
                <w:szCs w:val="18"/>
                <w:lang w:val="fr-FR"/>
              </w:rPr>
              <w:t>Septembre 2017</w:t>
            </w:r>
          </w:p>
        </w:tc>
      </w:tr>
      <w:tr w:rsidR="004C570A" w:rsidRPr="008E4D6C" w14:paraId="1260E085" w14:textId="77777777" w:rsidTr="005E7BE1">
        <w:trPr>
          <w:trHeight w:val="392"/>
          <w:jc w:val="right"/>
        </w:trPr>
        <w:tc>
          <w:tcPr>
            <w:tcW w:w="5854" w:type="dxa"/>
            <w:tcBorders>
              <w:top w:val="nil"/>
              <w:left w:val="nil"/>
              <w:bottom w:val="nil"/>
              <w:right w:val="nil"/>
            </w:tcBorders>
            <w:tcMar>
              <w:top w:w="80" w:type="dxa"/>
              <w:left w:w="80" w:type="dxa"/>
              <w:bottom w:w="80" w:type="dxa"/>
              <w:right w:w="80" w:type="dxa"/>
            </w:tcMar>
          </w:tcPr>
          <w:p w14:paraId="27086E24" w14:textId="77777777" w:rsidR="004C570A" w:rsidRPr="008E4D6C" w:rsidRDefault="004C570A" w:rsidP="005E7BE1">
            <w:pPr>
              <w:pStyle w:val="Brdtext"/>
              <w:tabs>
                <w:tab w:val="clear" w:pos="1247"/>
                <w:tab w:val="clear" w:pos="1814"/>
                <w:tab w:val="clear" w:pos="2381"/>
                <w:tab w:val="clear" w:pos="2948"/>
                <w:tab w:val="clear" w:pos="3515"/>
                <w:tab w:val="left" w:pos="624"/>
              </w:tabs>
              <w:spacing w:before="40" w:after="40"/>
              <w:rPr>
                <w:color w:val="auto"/>
                <w:sz w:val="18"/>
                <w:szCs w:val="18"/>
                <w:lang w:val="fr-FR"/>
              </w:rPr>
            </w:pPr>
            <w:r w:rsidRPr="008E4D6C">
              <w:rPr>
                <w:color w:val="auto"/>
                <w:sz w:val="18"/>
                <w:szCs w:val="18"/>
                <w:lang w:val="fr-FR"/>
              </w:rPr>
              <w:t xml:space="preserve">La Conférence des Parties a conscience de la complexité de la gestion des sites contaminés et des exigences techniques découlant de l’élaboration d’un projet d’orientations ; cependant, elle reconnaît également qu’il est possible de s’inspirer d’orientations élaborées sur le sujet dans le cadre de plusieurs autres instances pour établir le projet d’orientations. La Conférence des Parties reconnaît donc avoir besoin des contributions d’experts dans ce domaine et invite les gouvernements et autres parties prenantes à désigner des experts souhaitant prendre part aux travaux. </w:t>
            </w:r>
          </w:p>
        </w:tc>
        <w:tc>
          <w:tcPr>
            <w:tcW w:w="2509" w:type="dxa"/>
            <w:tcBorders>
              <w:top w:val="nil"/>
              <w:left w:val="nil"/>
              <w:bottom w:val="nil"/>
              <w:right w:val="nil"/>
            </w:tcBorders>
            <w:tcMar>
              <w:top w:w="80" w:type="dxa"/>
              <w:left w:w="80" w:type="dxa"/>
              <w:bottom w:w="80" w:type="dxa"/>
              <w:right w:w="80" w:type="dxa"/>
            </w:tcMar>
          </w:tcPr>
          <w:p w14:paraId="09761719" w14:textId="77777777" w:rsidR="004C570A" w:rsidRPr="008E4D6C" w:rsidRDefault="004C570A" w:rsidP="005E7BE1">
            <w:pPr>
              <w:pStyle w:val="Brdtext"/>
              <w:tabs>
                <w:tab w:val="clear" w:pos="1247"/>
                <w:tab w:val="clear" w:pos="1814"/>
                <w:tab w:val="clear" w:pos="2381"/>
                <w:tab w:val="clear" w:pos="2948"/>
                <w:tab w:val="clear" w:pos="3515"/>
                <w:tab w:val="left" w:pos="624"/>
              </w:tabs>
              <w:spacing w:before="40" w:after="40"/>
              <w:ind w:left="224"/>
              <w:rPr>
                <w:color w:val="auto"/>
                <w:sz w:val="18"/>
                <w:szCs w:val="18"/>
                <w:lang w:val="fr-FR"/>
              </w:rPr>
            </w:pPr>
            <w:r w:rsidRPr="008E4D6C">
              <w:rPr>
                <w:color w:val="auto"/>
                <w:sz w:val="18"/>
                <w:szCs w:val="18"/>
                <w:lang w:val="fr-FR"/>
              </w:rPr>
              <w:t>Septembre 2017</w:t>
            </w:r>
          </w:p>
        </w:tc>
      </w:tr>
      <w:tr w:rsidR="004C570A" w:rsidRPr="008E4D6C" w14:paraId="35F13AB2" w14:textId="77777777" w:rsidTr="005E7BE1">
        <w:trPr>
          <w:trHeight w:val="622"/>
          <w:jc w:val="right"/>
        </w:trPr>
        <w:tc>
          <w:tcPr>
            <w:tcW w:w="5854" w:type="dxa"/>
            <w:tcBorders>
              <w:top w:val="nil"/>
              <w:left w:val="nil"/>
              <w:bottom w:val="nil"/>
              <w:right w:val="nil"/>
            </w:tcBorders>
            <w:tcMar>
              <w:top w:w="80" w:type="dxa"/>
              <w:left w:w="80" w:type="dxa"/>
              <w:bottom w:w="80" w:type="dxa"/>
              <w:right w:w="80" w:type="dxa"/>
            </w:tcMar>
          </w:tcPr>
          <w:p w14:paraId="2991F7E7" w14:textId="77777777" w:rsidR="004C570A" w:rsidRPr="008E4D6C" w:rsidRDefault="004C570A" w:rsidP="005E7BE1">
            <w:pPr>
              <w:pStyle w:val="Brdtext"/>
              <w:tabs>
                <w:tab w:val="clear" w:pos="1247"/>
                <w:tab w:val="clear" w:pos="1814"/>
                <w:tab w:val="clear" w:pos="2381"/>
                <w:tab w:val="clear" w:pos="2948"/>
                <w:tab w:val="clear" w:pos="3515"/>
                <w:tab w:val="left" w:pos="624"/>
              </w:tabs>
              <w:spacing w:before="40" w:after="40"/>
              <w:rPr>
                <w:color w:val="auto"/>
                <w:sz w:val="18"/>
                <w:szCs w:val="18"/>
                <w:lang w:val="fr-FR"/>
              </w:rPr>
            </w:pPr>
            <w:r w:rsidRPr="008E4D6C">
              <w:rPr>
                <w:color w:val="auto"/>
                <w:sz w:val="18"/>
                <w:szCs w:val="18"/>
                <w:lang w:val="fr-FR"/>
              </w:rPr>
              <w:t>Les noms des experts désignés sont communiqués au secrétariat afin de créer un groupe de travail d’experts qui collaborera par voie électronique.</w:t>
            </w:r>
          </w:p>
        </w:tc>
        <w:tc>
          <w:tcPr>
            <w:tcW w:w="2509" w:type="dxa"/>
            <w:tcBorders>
              <w:top w:val="nil"/>
              <w:left w:val="nil"/>
              <w:bottom w:val="nil"/>
              <w:right w:val="nil"/>
            </w:tcBorders>
            <w:tcMar>
              <w:top w:w="80" w:type="dxa"/>
              <w:left w:w="80" w:type="dxa"/>
              <w:bottom w:w="80" w:type="dxa"/>
              <w:right w:w="80" w:type="dxa"/>
            </w:tcMar>
          </w:tcPr>
          <w:p w14:paraId="5FE02B7D" w14:textId="77777777" w:rsidR="004C570A" w:rsidRPr="008E4D6C" w:rsidRDefault="004C570A" w:rsidP="005E7BE1">
            <w:pPr>
              <w:pStyle w:val="Brdtext"/>
              <w:tabs>
                <w:tab w:val="clear" w:pos="1247"/>
                <w:tab w:val="clear" w:pos="1814"/>
                <w:tab w:val="clear" w:pos="2381"/>
                <w:tab w:val="clear" w:pos="2948"/>
                <w:tab w:val="clear" w:pos="3515"/>
                <w:tab w:val="left" w:pos="624"/>
              </w:tabs>
              <w:spacing w:before="40" w:after="40"/>
              <w:ind w:left="224"/>
              <w:rPr>
                <w:color w:val="auto"/>
                <w:sz w:val="18"/>
                <w:szCs w:val="18"/>
                <w:lang w:val="fr-FR"/>
              </w:rPr>
            </w:pPr>
            <w:r w:rsidRPr="008E4D6C">
              <w:rPr>
                <w:color w:val="auto"/>
                <w:sz w:val="18"/>
                <w:szCs w:val="18"/>
                <w:lang w:val="fr-FR"/>
              </w:rPr>
              <w:t>Décembre 2017</w:t>
            </w:r>
          </w:p>
        </w:tc>
      </w:tr>
      <w:tr w:rsidR="004C570A" w:rsidRPr="008E4D6C" w14:paraId="0118324B" w14:textId="77777777" w:rsidTr="005E7BE1">
        <w:trPr>
          <w:trHeight w:val="192"/>
          <w:jc w:val="right"/>
        </w:trPr>
        <w:tc>
          <w:tcPr>
            <w:tcW w:w="5854" w:type="dxa"/>
            <w:tcBorders>
              <w:top w:val="nil"/>
              <w:left w:val="nil"/>
              <w:bottom w:val="nil"/>
              <w:right w:val="nil"/>
            </w:tcBorders>
            <w:tcMar>
              <w:top w:w="80" w:type="dxa"/>
              <w:left w:w="80" w:type="dxa"/>
              <w:bottom w:w="80" w:type="dxa"/>
              <w:right w:w="80" w:type="dxa"/>
            </w:tcMar>
          </w:tcPr>
          <w:p w14:paraId="026581CE" w14:textId="77777777" w:rsidR="004C570A" w:rsidRPr="008E4D6C" w:rsidRDefault="004C570A" w:rsidP="005E7BE1">
            <w:pPr>
              <w:pStyle w:val="Brdtext"/>
              <w:tabs>
                <w:tab w:val="clear" w:pos="1247"/>
                <w:tab w:val="clear" w:pos="1814"/>
                <w:tab w:val="clear" w:pos="2381"/>
                <w:tab w:val="clear" w:pos="2948"/>
                <w:tab w:val="clear" w:pos="3515"/>
                <w:tab w:val="left" w:pos="624"/>
              </w:tabs>
              <w:spacing w:before="40" w:after="40"/>
              <w:rPr>
                <w:color w:val="auto"/>
                <w:sz w:val="18"/>
                <w:szCs w:val="18"/>
                <w:lang w:val="fr-FR"/>
              </w:rPr>
            </w:pPr>
            <w:r w:rsidRPr="008E4D6C">
              <w:rPr>
                <w:color w:val="auto"/>
                <w:sz w:val="18"/>
                <w:szCs w:val="18"/>
                <w:lang w:val="fr-FR"/>
              </w:rPr>
              <w:t xml:space="preserve">Le secrétariat élabore, sur la base des informations qui lui ont été communiquées précédemment et des travaux entrepris dans d’autres instances et en se servant du plan approuvé par la Conférence des Parties décrivant dans les grandes lignes la structure et le contenu des orientations, un premier projet </w:t>
            </w:r>
            <w:r w:rsidRPr="008E4D6C">
              <w:rPr>
                <w:color w:val="auto"/>
                <w:sz w:val="18"/>
                <w:szCs w:val="18"/>
                <w:lang w:val="fr-FR"/>
              </w:rPr>
              <w:lastRenderedPageBreak/>
              <w:t>d’orientations sur la gestion des sites contaminés et le diffuse auprès des experts par voie électronique.</w:t>
            </w:r>
          </w:p>
        </w:tc>
        <w:tc>
          <w:tcPr>
            <w:tcW w:w="2509" w:type="dxa"/>
            <w:tcBorders>
              <w:top w:val="nil"/>
              <w:left w:val="nil"/>
              <w:bottom w:val="nil"/>
              <w:right w:val="nil"/>
            </w:tcBorders>
            <w:tcMar>
              <w:top w:w="80" w:type="dxa"/>
              <w:left w:w="80" w:type="dxa"/>
              <w:bottom w:w="80" w:type="dxa"/>
              <w:right w:w="80" w:type="dxa"/>
            </w:tcMar>
          </w:tcPr>
          <w:p w14:paraId="0B3165B9" w14:textId="77777777" w:rsidR="004C570A" w:rsidRPr="008E4D6C" w:rsidRDefault="004C570A" w:rsidP="005E7BE1">
            <w:pPr>
              <w:pStyle w:val="Brdtext"/>
              <w:tabs>
                <w:tab w:val="clear" w:pos="1247"/>
                <w:tab w:val="clear" w:pos="1814"/>
                <w:tab w:val="clear" w:pos="2381"/>
                <w:tab w:val="clear" w:pos="2948"/>
                <w:tab w:val="clear" w:pos="3515"/>
                <w:tab w:val="left" w:pos="624"/>
              </w:tabs>
              <w:spacing w:before="40" w:after="40"/>
              <w:ind w:left="224"/>
              <w:rPr>
                <w:color w:val="auto"/>
                <w:sz w:val="18"/>
                <w:szCs w:val="18"/>
                <w:lang w:val="fr-FR"/>
              </w:rPr>
            </w:pPr>
            <w:r w:rsidRPr="008E4D6C">
              <w:rPr>
                <w:color w:val="auto"/>
                <w:sz w:val="18"/>
                <w:szCs w:val="18"/>
                <w:lang w:val="fr-FR"/>
              </w:rPr>
              <w:lastRenderedPageBreak/>
              <w:t>Février 2018</w:t>
            </w:r>
          </w:p>
        </w:tc>
      </w:tr>
      <w:tr w:rsidR="004C570A" w:rsidRPr="008E4D6C" w14:paraId="19B5EA79" w14:textId="77777777" w:rsidTr="005E7BE1">
        <w:trPr>
          <w:trHeight w:val="792"/>
          <w:jc w:val="right"/>
        </w:trPr>
        <w:tc>
          <w:tcPr>
            <w:tcW w:w="5854" w:type="dxa"/>
            <w:tcBorders>
              <w:top w:val="nil"/>
              <w:left w:val="nil"/>
              <w:bottom w:val="nil"/>
              <w:right w:val="nil"/>
            </w:tcBorders>
            <w:tcMar>
              <w:top w:w="80" w:type="dxa"/>
              <w:left w:w="80" w:type="dxa"/>
              <w:bottom w:w="80" w:type="dxa"/>
              <w:right w:w="80" w:type="dxa"/>
            </w:tcMar>
          </w:tcPr>
          <w:p w14:paraId="184E27AE" w14:textId="77777777" w:rsidR="004C570A" w:rsidRPr="008E4D6C" w:rsidRDefault="004C570A" w:rsidP="005E7BE1">
            <w:pPr>
              <w:pStyle w:val="Brdtext"/>
              <w:tabs>
                <w:tab w:val="clear" w:pos="1247"/>
                <w:tab w:val="clear" w:pos="1814"/>
                <w:tab w:val="clear" w:pos="2381"/>
                <w:tab w:val="clear" w:pos="2948"/>
                <w:tab w:val="clear" w:pos="3515"/>
                <w:tab w:val="left" w:pos="624"/>
              </w:tabs>
              <w:spacing w:before="40" w:after="40"/>
              <w:rPr>
                <w:color w:val="auto"/>
                <w:sz w:val="18"/>
                <w:szCs w:val="18"/>
                <w:lang w:val="fr-FR"/>
              </w:rPr>
            </w:pPr>
            <w:r w:rsidRPr="008E4D6C">
              <w:rPr>
                <w:color w:val="auto"/>
                <w:sz w:val="18"/>
                <w:szCs w:val="18"/>
                <w:lang w:val="fr-FR"/>
              </w:rPr>
              <w:t xml:space="preserve">Les experts examinent les propositions initiales et communiquent leurs observations au secrétariat par voie électronique. S’il y a lieu, des téléconférences ou des webinaires pourront être organisés afin de débattre du projet d’orientations. </w:t>
            </w:r>
          </w:p>
        </w:tc>
        <w:tc>
          <w:tcPr>
            <w:tcW w:w="2509" w:type="dxa"/>
            <w:tcBorders>
              <w:top w:val="nil"/>
              <w:left w:val="nil"/>
              <w:bottom w:val="nil"/>
              <w:right w:val="nil"/>
            </w:tcBorders>
            <w:tcMar>
              <w:top w:w="80" w:type="dxa"/>
              <w:left w:w="80" w:type="dxa"/>
              <w:bottom w:w="80" w:type="dxa"/>
              <w:right w:w="80" w:type="dxa"/>
            </w:tcMar>
          </w:tcPr>
          <w:p w14:paraId="0954EA87" w14:textId="77777777" w:rsidR="004C570A" w:rsidRPr="008E4D6C" w:rsidRDefault="004C570A" w:rsidP="005E7BE1">
            <w:pPr>
              <w:pStyle w:val="Brdtext"/>
              <w:tabs>
                <w:tab w:val="clear" w:pos="1247"/>
                <w:tab w:val="clear" w:pos="1814"/>
                <w:tab w:val="clear" w:pos="2381"/>
                <w:tab w:val="clear" w:pos="2948"/>
                <w:tab w:val="clear" w:pos="3515"/>
                <w:tab w:val="left" w:pos="624"/>
              </w:tabs>
              <w:spacing w:before="40" w:after="40"/>
              <w:ind w:left="224"/>
              <w:rPr>
                <w:color w:val="auto"/>
                <w:sz w:val="18"/>
                <w:szCs w:val="18"/>
                <w:lang w:val="fr-FR"/>
              </w:rPr>
            </w:pPr>
            <w:r w:rsidRPr="008E4D6C">
              <w:rPr>
                <w:color w:val="auto"/>
                <w:sz w:val="18"/>
                <w:szCs w:val="18"/>
                <w:lang w:val="fr-FR"/>
              </w:rPr>
              <w:t>Avril 2018</w:t>
            </w:r>
          </w:p>
        </w:tc>
      </w:tr>
      <w:tr w:rsidR="004C570A" w:rsidRPr="008E4D6C" w14:paraId="09EF89E2" w14:textId="77777777" w:rsidTr="005E7BE1">
        <w:trPr>
          <w:trHeight w:val="192"/>
          <w:jc w:val="right"/>
        </w:trPr>
        <w:tc>
          <w:tcPr>
            <w:tcW w:w="5854" w:type="dxa"/>
            <w:tcBorders>
              <w:top w:val="nil"/>
              <w:left w:val="nil"/>
              <w:bottom w:val="nil"/>
              <w:right w:val="nil"/>
            </w:tcBorders>
            <w:tcMar>
              <w:top w:w="80" w:type="dxa"/>
              <w:left w:w="80" w:type="dxa"/>
              <w:bottom w:w="80" w:type="dxa"/>
              <w:right w:w="80" w:type="dxa"/>
            </w:tcMar>
          </w:tcPr>
          <w:p w14:paraId="72F0D26E" w14:textId="77777777" w:rsidR="004C570A" w:rsidRPr="008E4D6C" w:rsidRDefault="004C570A" w:rsidP="005E7BE1">
            <w:pPr>
              <w:pStyle w:val="Brdtext"/>
              <w:tabs>
                <w:tab w:val="clear" w:pos="1247"/>
                <w:tab w:val="clear" w:pos="1814"/>
                <w:tab w:val="clear" w:pos="2381"/>
                <w:tab w:val="clear" w:pos="2948"/>
                <w:tab w:val="clear" w:pos="3515"/>
                <w:tab w:val="left" w:pos="624"/>
              </w:tabs>
              <w:spacing w:before="40" w:after="40"/>
              <w:rPr>
                <w:color w:val="auto"/>
                <w:sz w:val="18"/>
                <w:szCs w:val="18"/>
                <w:lang w:val="fr-FR"/>
              </w:rPr>
            </w:pPr>
            <w:r w:rsidRPr="008E4D6C">
              <w:rPr>
                <w:color w:val="auto"/>
                <w:sz w:val="18"/>
                <w:szCs w:val="18"/>
                <w:lang w:val="fr-FR"/>
              </w:rPr>
              <w:t>Le secrétariat élabore des versions révisées du projet d’orientations et les diffuse auprès des experts pour examen approfondi par voie électronique.</w:t>
            </w:r>
          </w:p>
        </w:tc>
        <w:tc>
          <w:tcPr>
            <w:tcW w:w="2509" w:type="dxa"/>
            <w:tcBorders>
              <w:top w:val="nil"/>
              <w:left w:val="nil"/>
              <w:bottom w:val="nil"/>
              <w:right w:val="nil"/>
            </w:tcBorders>
            <w:tcMar>
              <w:top w:w="80" w:type="dxa"/>
              <w:left w:w="80" w:type="dxa"/>
              <w:bottom w:w="80" w:type="dxa"/>
              <w:right w:w="80" w:type="dxa"/>
            </w:tcMar>
          </w:tcPr>
          <w:p w14:paraId="1BC5AFA2" w14:textId="77777777" w:rsidR="004C570A" w:rsidRPr="008E4D6C" w:rsidRDefault="004C570A" w:rsidP="005E7BE1">
            <w:pPr>
              <w:pStyle w:val="Brdtext"/>
              <w:tabs>
                <w:tab w:val="clear" w:pos="1247"/>
                <w:tab w:val="clear" w:pos="1814"/>
                <w:tab w:val="clear" w:pos="2381"/>
                <w:tab w:val="clear" w:pos="2948"/>
                <w:tab w:val="clear" w:pos="3515"/>
                <w:tab w:val="left" w:pos="624"/>
              </w:tabs>
              <w:spacing w:before="40" w:after="40"/>
              <w:ind w:left="224"/>
              <w:rPr>
                <w:color w:val="auto"/>
                <w:sz w:val="18"/>
                <w:szCs w:val="18"/>
                <w:lang w:val="fr-FR"/>
              </w:rPr>
            </w:pPr>
            <w:r w:rsidRPr="008E4D6C">
              <w:rPr>
                <w:color w:val="auto"/>
                <w:sz w:val="18"/>
                <w:szCs w:val="18"/>
                <w:lang w:val="fr-FR"/>
              </w:rPr>
              <w:t>Mai 2018</w:t>
            </w:r>
          </w:p>
        </w:tc>
      </w:tr>
      <w:tr w:rsidR="004C570A" w:rsidRPr="008E4D6C" w14:paraId="02CA34EB" w14:textId="77777777" w:rsidTr="005E7BE1">
        <w:trPr>
          <w:trHeight w:val="807"/>
          <w:jc w:val="right"/>
        </w:trPr>
        <w:tc>
          <w:tcPr>
            <w:tcW w:w="5854" w:type="dxa"/>
            <w:tcBorders>
              <w:top w:val="nil"/>
              <w:left w:val="nil"/>
              <w:bottom w:val="nil"/>
              <w:right w:val="nil"/>
            </w:tcBorders>
            <w:tcMar>
              <w:top w:w="80" w:type="dxa"/>
              <w:left w:w="80" w:type="dxa"/>
              <w:bottom w:w="80" w:type="dxa"/>
              <w:right w:w="80" w:type="dxa"/>
            </w:tcMar>
          </w:tcPr>
          <w:p w14:paraId="45896723" w14:textId="77777777" w:rsidR="004C570A" w:rsidRPr="008E4D6C" w:rsidRDefault="004C570A" w:rsidP="005E7BE1">
            <w:pPr>
              <w:pStyle w:val="Brdtext"/>
              <w:tabs>
                <w:tab w:val="clear" w:pos="1247"/>
                <w:tab w:val="clear" w:pos="1814"/>
                <w:tab w:val="clear" w:pos="2381"/>
                <w:tab w:val="clear" w:pos="2948"/>
                <w:tab w:val="clear" w:pos="3515"/>
                <w:tab w:val="left" w:pos="624"/>
              </w:tabs>
              <w:spacing w:before="40" w:after="40"/>
              <w:rPr>
                <w:color w:val="auto"/>
                <w:sz w:val="18"/>
                <w:szCs w:val="18"/>
                <w:lang w:val="fr-FR"/>
              </w:rPr>
            </w:pPr>
            <w:r w:rsidRPr="008E4D6C">
              <w:rPr>
                <w:color w:val="auto"/>
                <w:sz w:val="18"/>
                <w:szCs w:val="18"/>
                <w:lang w:val="fr-FR"/>
              </w:rPr>
              <w:t>Les experts examinent le projet révisé et élaborent des recommandations à l’intention de la Conférence des Parties à sa deuxième réunion, y compris toute recommandation visant à entreprendre de nouveaux travaux ou des travaux supplémentaires.</w:t>
            </w:r>
          </w:p>
        </w:tc>
        <w:tc>
          <w:tcPr>
            <w:tcW w:w="2509" w:type="dxa"/>
            <w:tcBorders>
              <w:top w:val="nil"/>
              <w:left w:val="nil"/>
              <w:bottom w:val="nil"/>
              <w:right w:val="nil"/>
            </w:tcBorders>
            <w:tcMar>
              <w:top w:w="80" w:type="dxa"/>
              <w:left w:w="80" w:type="dxa"/>
              <w:bottom w:w="80" w:type="dxa"/>
              <w:right w:w="80" w:type="dxa"/>
            </w:tcMar>
          </w:tcPr>
          <w:p w14:paraId="434680DB" w14:textId="77777777" w:rsidR="004C570A" w:rsidRPr="008E4D6C" w:rsidRDefault="004C570A" w:rsidP="005E7BE1">
            <w:pPr>
              <w:pStyle w:val="Brdtext"/>
              <w:tabs>
                <w:tab w:val="clear" w:pos="1247"/>
                <w:tab w:val="clear" w:pos="1814"/>
                <w:tab w:val="clear" w:pos="2381"/>
                <w:tab w:val="clear" w:pos="2948"/>
                <w:tab w:val="clear" w:pos="3515"/>
                <w:tab w:val="left" w:pos="624"/>
              </w:tabs>
              <w:spacing w:before="40" w:after="40"/>
              <w:ind w:left="224"/>
              <w:rPr>
                <w:color w:val="auto"/>
                <w:sz w:val="18"/>
                <w:szCs w:val="18"/>
                <w:lang w:val="fr-FR"/>
              </w:rPr>
            </w:pPr>
            <w:r w:rsidRPr="008E4D6C">
              <w:rPr>
                <w:color w:val="auto"/>
                <w:sz w:val="18"/>
                <w:szCs w:val="18"/>
                <w:lang w:val="fr-FR"/>
              </w:rPr>
              <w:t>Juillet 2018</w:t>
            </w:r>
          </w:p>
        </w:tc>
      </w:tr>
      <w:tr w:rsidR="004C570A" w:rsidRPr="008E4D6C" w14:paraId="05F5A55A" w14:textId="77777777" w:rsidTr="005E7BE1">
        <w:trPr>
          <w:trHeight w:val="807"/>
          <w:jc w:val="right"/>
        </w:trPr>
        <w:tc>
          <w:tcPr>
            <w:tcW w:w="5854" w:type="dxa"/>
            <w:tcBorders>
              <w:top w:val="nil"/>
              <w:left w:val="nil"/>
              <w:bottom w:val="single" w:sz="12" w:space="0" w:color="000000"/>
              <w:right w:val="nil"/>
            </w:tcBorders>
            <w:tcMar>
              <w:top w:w="80" w:type="dxa"/>
              <w:left w:w="80" w:type="dxa"/>
              <w:bottom w:w="80" w:type="dxa"/>
              <w:right w:w="80" w:type="dxa"/>
            </w:tcMar>
          </w:tcPr>
          <w:p w14:paraId="225CC94E" w14:textId="77777777" w:rsidR="004C570A" w:rsidRPr="008E4D6C" w:rsidRDefault="004C570A" w:rsidP="005E7BE1">
            <w:pPr>
              <w:pStyle w:val="Brdtext"/>
              <w:tabs>
                <w:tab w:val="clear" w:pos="1247"/>
                <w:tab w:val="clear" w:pos="1814"/>
                <w:tab w:val="clear" w:pos="2381"/>
                <w:tab w:val="clear" w:pos="2948"/>
                <w:tab w:val="clear" w:pos="3515"/>
                <w:tab w:val="left" w:pos="624"/>
              </w:tabs>
              <w:spacing w:before="40" w:after="40"/>
              <w:rPr>
                <w:rStyle w:val="Hyperlink0"/>
                <w:color w:val="auto"/>
                <w:sz w:val="18"/>
                <w:szCs w:val="18"/>
                <w:lang w:val="fr-FR"/>
              </w:rPr>
            </w:pPr>
            <w:r w:rsidRPr="008E4D6C">
              <w:rPr>
                <w:color w:val="auto"/>
                <w:sz w:val="18"/>
                <w:szCs w:val="18"/>
                <w:lang w:val="fr-FR"/>
              </w:rPr>
              <w:t>Le secrétariat met le projet d’orientations et toute recommandation y afférente à disposition de la Conférence des Parties à sa deuxième réunion afin qu’elle l’examine et formule des recommandations supplémentaires.</w:t>
            </w:r>
          </w:p>
        </w:tc>
        <w:tc>
          <w:tcPr>
            <w:tcW w:w="2509" w:type="dxa"/>
            <w:tcBorders>
              <w:top w:val="nil"/>
              <w:left w:val="nil"/>
              <w:bottom w:val="single" w:sz="12" w:space="0" w:color="000000"/>
              <w:right w:val="nil"/>
            </w:tcBorders>
            <w:tcMar>
              <w:top w:w="80" w:type="dxa"/>
              <w:left w:w="80" w:type="dxa"/>
              <w:bottom w:w="80" w:type="dxa"/>
              <w:right w:w="80" w:type="dxa"/>
            </w:tcMar>
          </w:tcPr>
          <w:p w14:paraId="5CA37613" w14:textId="77777777" w:rsidR="004C570A" w:rsidRPr="008E4D6C" w:rsidRDefault="004C570A" w:rsidP="005E7BE1">
            <w:pPr>
              <w:pStyle w:val="Brdtext"/>
              <w:tabs>
                <w:tab w:val="clear" w:pos="1247"/>
                <w:tab w:val="clear" w:pos="1814"/>
                <w:tab w:val="clear" w:pos="2381"/>
                <w:tab w:val="clear" w:pos="2948"/>
                <w:tab w:val="clear" w:pos="3515"/>
                <w:tab w:val="left" w:pos="624"/>
              </w:tabs>
              <w:spacing w:before="40" w:after="40"/>
              <w:ind w:left="224"/>
              <w:rPr>
                <w:rStyle w:val="Hyperlink0"/>
                <w:color w:val="auto"/>
                <w:sz w:val="18"/>
                <w:szCs w:val="18"/>
                <w:lang w:val="fr-FR"/>
              </w:rPr>
            </w:pPr>
            <w:r w:rsidRPr="008E4D6C">
              <w:rPr>
                <w:color w:val="auto"/>
                <w:sz w:val="18"/>
                <w:szCs w:val="18"/>
                <w:lang w:val="fr-FR"/>
              </w:rPr>
              <w:t>Novembre 2018</w:t>
            </w:r>
          </w:p>
        </w:tc>
      </w:tr>
    </w:tbl>
    <w:p w14:paraId="3BD51722" w14:textId="77777777" w:rsidR="004C570A" w:rsidRPr="008E4D6C" w:rsidRDefault="004C570A" w:rsidP="004C570A">
      <w:pPr>
        <w:pStyle w:val="ZZAnxheader"/>
        <w:spacing w:before="240" w:after="120"/>
        <w:ind w:left="1274"/>
        <w:rPr>
          <w:sz w:val="24"/>
          <w:szCs w:val="24"/>
          <w:lang w:val="fr-FR"/>
        </w:rPr>
      </w:pPr>
      <w:r w:rsidRPr="008E4D6C">
        <w:rPr>
          <w:sz w:val="24"/>
          <w:szCs w:val="24"/>
          <w:lang w:val="fr-FR"/>
        </w:rPr>
        <w:t>Annexe II à la décision MC-1/20</w:t>
      </w:r>
    </w:p>
    <w:p w14:paraId="78E537FC" w14:textId="77777777" w:rsidR="004C570A" w:rsidRPr="008E4D6C" w:rsidRDefault="004C570A" w:rsidP="004C570A">
      <w:pPr>
        <w:pStyle w:val="ZZAnxtitle"/>
        <w:spacing w:before="80"/>
        <w:rPr>
          <w:sz w:val="24"/>
          <w:szCs w:val="24"/>
          <w:lang w:val="fr-FR"/>
        </w:rPr>
      </w:pPr>
      <w:r w:rsidRPr="008E4D6C">
        <w:rPr>
          <w:sz w:val="24"/>
          <w:szCs w:val="24"/>
          <w:lang w:val="fr-FR"/>
        </w:rPr>
        <w:t>Description générale de la structure et du contenu des orientations sur la gestion des sites contaminés</w:t>
      </w:r>
    </w:p>
    <w:p w14:paraId="0CA1A713" w14:textId="77777777" w:rsidR="004C570A" w:rsidRPr="008E4D6C" w:rsidRDefault="004C570A" w:rsidP="004C570A">
      <w:pPr>
        <w:pStyle w:val="CH2"/>
        <w:rPr>
          <w:lang w:val="fr-FR"/>
        </w:rPr>
      </w:pPr>
      <w:r w:rsidRPr="008E4D6C">
        <w:rPr>
          <w:lang w:val="fr-FR"/>
        </w:rPr>
        <w:tab/>
      </w:r>
      <w:r w:rsidRPr="008E4D6C">
        <w:rPr>
          <w:lang w:val="fr-FR"/>
        </w:rPr>
        <w:tab/>
        <w:t>Orientations sur la gestion des sites contaminés</w:t>
      </w:r>
    </w:p>
    <w:p w14:paraId="3093465D" w14:textId="77777777" w:rsidR="004C570A" w:rsidRPr="008E4D6C" w:rsidRDefault="004C570A" w:rsidP="004C570A">
      <w:pPr>
        <w:pStyle w:val="CH2"/>
        <w:rPr>
          <w:lang w:val="fr-FR"/>
        </w:rPr>
      </w:pPr>
      <w:r w:rsidRPr="008E4D6C">
        <w:rPr>
          <w:lang w:val="fr-FR"/>
        </w:rPr>
        <w:tab/>
        <w:t>A.</w:t>
      </w:r>
      <w:r w:rsidRPr="008E4D6C">
        <w:rPr>
          <w:lang w:val="fr-FR"/>
        </w:rPr>
        <w:tab/>
        <w:t>Introduction</w:t>
      </w:r>
    </w:p>
    <w:p w14:paraId="1CFF3C0C" w14:textId="77777777" w:rsidR="004C570A" w:rsidRPr="008E4D6C" w:rsidRDefault="004C570A" w:rsidP="004C570A">
      <w:pPr>
        <w:pStyle w:val="Normalnumber"/>
        <w:numPr>
          <w:ilvl w:val="0"/>
          <w:numId w:val="6"/>
        </w:numPr>
        <w:ind w:left="1276"/>
        <w:rPr>
          <w:b/>
          <w:bCs/>
        </w:rPr>
      </w:pPr>
      <w:r w:rsidRPr="008E4D6C">
        <w:t xml:space="preserve">L’introduction donnera des informations générales concernant les risques pour la santé humaine et l’environnement associés à l’exposition au mercure. Elle comprendra également des informations relatives à l’utilisation du mercure dans le monde et s’intéressera en particulier aux utilisations ayant causé ou risquant de causer la contamination de sites (notamment l’extraction artisanale d’or, la production de chlore-alcali, la gestion des déchets industriels ou la contamination de sites tiers par les ruissellements en provenance des sites abritant ces activités). L’introduction fournira également un aperçu des obligations créées par la Convention de Minamata sur le mercure en matière de gestion des sites contaminés et rappellera quelques politiques nationales existantes dans ce domaine. </w:t>
      </w:r>
    </w:p>
    <w:p w14:paraId="06AF5F2C" w14:textId="77777777" w:rsidR="004C570A" w:rsidRPr="008E4D6C" w:rsidRDefault="004C570A" w:rsidP="004C570A">
      <w:pPr>
        <w:pStyle w:val="CH2"/>
        <w:rPr>
          <w:lang w:val="fr-FR"/>
        </w:rPr>
      </w:pPr>
      <w:r w:rsidRPr="008E4D6C">
        <w:rPr>
          <w:lang w:val="fr-FR"/>
        </w:rPr>
        <w:tab/>
        <w:t>B.</w:t>
      </w:r>
      <w:r w:rsidRPr="008E4D6C">
        <w:rPr>
          <w:lang w:val="fr-FR"/>
        </w:rPr>
        <w:tab/>
        <w:t>Identification et caractérisation des sites contaminés</w:t>
      </w:r>
    </w:p>
    <w:p w14:paraId="10E2C10D" w14:textId="77777777" w:rsidR="004C570A" w:rsidRPr="008E4D6C" w:rsidRDefault="004C570A" w:rsidP="004C570A">
      <w:pPr>
        <w:pStyle w:val="Normalnumber"/>
        <w:numPr>
          <w:ilvl w:val="0"/>
          <w:numId w:val="6"/>
        </w:numPr>
        <w:ind w:left="1276"/>
        <w:rPr>
          <w:b/>
          <w:bCs/>
        </w:rPr>
      </w:pPr>
      <w:r w:rsidRPr="008E4D6C">
        <w:t>Cette section exposera les mécanismes dont les pays disposent pour identifier les sites contaminés par le mercure ou des composés du mercure, ainsi que les techniques permettant de caractériser la contamination d’un site à la suite de son identification comme site potentiellement contaminé. Les orientations décriront les étapes qui pourraient être nécessaires à l’établissement d’une liste nationale des sites contaminés. Les étapes en question pourraient inclure la détermination du seuil national de contamination par le mercure ou des composés du mercure au-delà duquel un site serait considéré comme contaminé. Le terme « site » pourrait également devoir être défini, en tenant compte du fait que les zones touchées par le ruissellement en provenance d’un site contaminé primaire pourraient être plus gravement touchées que ce dernier. Les orientations traiteraient ensuite du mécanisme au niveau national permettant d’identifier les sites potentiellement contaminés. Dans ce cadre pourrait être menée une étude théorique des informations recueillies sur des activités industrielles présentes ou passées au cours desquelles du mercure ou des composés du mercure ont été utilisés ou relâchés, ou sur des zones de déversement de déchets, en combinaison avec les informations recueillies en observant des sites ou en procédant à des enquêtes locales.</w:t>
      </w:r>
    </w:p>
    <w:p w14:paraId="6614CDB0" w14:textId="77777777" w:rsidR="004C570A" w:rsidRPr="008E4D6C" w:rsidRDefault="004C570A" w:rsidP="004C570A">
      <w:pPr>
        <w:pStyle w:val="Normalnumber"/>
        <w:numPr>
          <w:ilvl w:val="0"/>
          <w:numId w:val="6"/>
        </w:numPr>
        <w:ind w:left="1276"/>
        <w:rPr>
          <w:b/>
          <w:bCs/>
        </w:rPr>
      </w:pPr>
      <w:r w:rsidRPr="008E4D6C">
        <w:t xml:space="preserve">La caractérisation des sites potentiellement contaminés identifiés au moyen de ce mécanisme peut être affinée grâce à un protocole d’évaluation. Les orientations décriraient également la portée d’un tel protocole, rappelant qu’il faudrait qu’il soit approuvé au niveau national. Le protocole d’évaluation pourrait comprendre une inspection du site afin de définir plus précisément ses caractéristiques (y compris la topographie, les risques de ruissellement ou de contamination des ressources en eau locales, l’utilisation présente du site et les preuves de ses utilisations passées). Un échantillonnage rigoureux de l’air, du sol et de l’eau du site serait nécessaire pour caractériser les risques avec plus de précision et les orientations comprendraient des informations sur le type d’informations à prélever afin de caractériser le site au mieux, ainsi qu’un ensemble de méthodes d’analyse qui pourraient servir à déterminer la concentration en mercure ou en composés </w:t>
      </w:r>
      <w:proofErr w:type="gramStart"/>
      <w:r w:rsidRPr="008E4D6C">
        <w:t xml:space="preserve">du mercure </w:t>
      </w:r>
      <w:r w:rsidRPr="008E4D6C">
        <w:lastRenderedPageBreak/>
        <w:t>rencontrée</w:t>
      </w:r>
      <w:proofErr w:type="gramEnd"/>
      <w:r w:rsidRPr="008E4D6C">
        <w:t xml:space="preserve"> sur le site. Le prélèvement d’échantillons sur le biote, par exemple les poissons, les oiseaux d’eau et les mammifères locaux dans les zones contaminées par le mercure peut fournir des informations utiles, en particulier concernant les risques pour l’environnement local et les risques d’exposition des populations locales du fait de leur régime alimentaire, et des prélèvements sur les populations locales elles-mêmes pourraient s’avérer nécessaires. Une description des techniques de prélèvement des échantillons et des méthodes d’analyse recommandées devrait figurer dans les orientations. Les orientations pourraient également comprendre des informations sur l’ordre de priorité des activités, dans le cas où une activité initiale est menée pour filtrer les sites dont on considère qu’ils présentent les risques les plus élevés (en tenant compte de certains facteurs tels que la proximité de centres habités, l’éventualité d’une contamination des eaux souterraines ou des réseaux fluviaux et la concentration en mercure constatée sur le site). </w:t>
      </w:r>
    </w:p>
    <w:p w14:paraId="4723BB18" w14:textId="77777777" w:rsidR="004C570A" w:rsidRPr="008E4D6C" w:rsidRDefault="004C570A" w:rsidP="004C570A">
      <w:pPr>
        <w:pStyle w:val="CH2"/>
        <w:rPr>
          <w:lang w:val="fr-FR"/>
        </w:rPr>
      </w:pPr>
      <w:r w:rsidRPr="008E4D6C">
        <w:rPr>
          <w:lang w:val="fr-FR"/>
        </w:rPr>
        <w:tab/>
        <w:t>C.</w:t>
      </w:r>
      <w:r w:rsidRPr="008E4D6C">
        <w:rPr>
          <w:lang w:val="fr-FR"/>
        </w:rPr>
        <w:tab/>
        <w:t>Mobilisation du public</w:t>
      </w:r>
    </w:p>
    <w:p w14:paraId="40CD5F9C" w14:textId="77777777" w:rsidR="004C570A" w:rsidRPr="008E4D6C" w:rsidRDefault="004C570A" w:rsidP="004C570A">
      <w:pPr>
        <w:pStyle w:val="Normalnumber"/>
        <w:numPr>
          <w:ilvl w:val="0"/>
          <w:numId w:val="6"/>
        </w:numPr>
        <w:ind w:left="1276"/>
        <w:rPr>
          <w:b/>
          <w:bCs/>
        </w:rPr>
      </w:pPr>
      <w:r w:rsidRPr="008E4D6C">
        <w:t xml:space="preserve">On sait qu’il est essentiel de mobiliser le public. Les orientations comprendront des informations sur l’organisation de consultations publiques, notamment concernant la collecte et la diffusion d’informations, la participation du public et des parties prenantes à l’établissement d’un plan et d’engagements ayant trait au processus d’évaluation et à tout processus éventuel de remise en état, ainsi que les moyens de recueillir des informations en retour pour mesurer la participation du public et les niveaux de satisfaction. Les orientations contiendront également des informations sur les activités visant à sensibiliser le public et renforcer les capacités, en particulier celles ayant trait à toute action nécessaire à la réduction de l’exposition au mercure. </w:t>
      </w:r>
    </w:p>
    <w:p w14:paraId="21D9BFFC" w14:textId="77777777" w:rsidR="004C570A" w:rsidRPr="008E4D6C" w:rsidRDefault="004C570A" w:rsidP="004C570A">
      <w:pPr>
        <w:pStyle w:val="CH2"/>
        <w:rPr>
          <w:lang w:val="fr-FR"/>
        </w:rPr>
      </w:pPr>
      <w:r w:rsidRPr="008E4D6C">
        <w:rPr>
          <w:lang w:val="fr-FR"/>
        </w:rPr>
        <w:tab/>
        <w:t>D.</w:t>
      </w:r>
      <w:r w:rsidRPr="008E4D6C">
        <w:rPr>
          <w:lang w:val="fr-FR"/>
        </w:rPr>
        <w:tab/>
        <w:t>Évaluations des risques pour la santé humaine et l’environnement</w:t>
      </w:r>
    </w:p>
    <w:p w14:paraId="39A6F7FF" w14:textId="77777777" w:rsidR="004C570A" w:rsidRPr="008E4D6C" w:rsidRDefault="004C570A" w:rsidP="004C570A">
      <w:pPr>
        <w:pStyle w:val="Normalnumber"/>
        <w:numPr>
          <w:ilvl w:val="0"/>
          <w:numId w:val="6"/>
        </w:numPr>
        <w:ind w:left="1276"/>
        <w:rPr>
          <w:b/>
          <w:bCs/>
        </w:rPr>
      </w:pPr>
      <w:r w:rsidRPr="008E4D6C">
        <w:t xml:space="preserve">Mesurer l’impact des sites suppose d’évaluer les risques qu’ils font peser à la fois sur la santé humaine et sur l’environnement. Bien que les dangers du mercure soient bien connus et universels, la nature de l’exposition résultant de la présence de mercure est propre à chaque site. Les orientations incorporeront quelques informations sur les dangers du mercure et des composés du mercure mais se pencheront plus particulièrement sur les façons dont les caractéristiques des sites pourraient contribuer à l’exposition des êtres humains et de l’environnement et les méthodes de mesure de cette exposition. Elles fourniront ensuite des informations sur la façon de déterminer les risques que présentent les sites, y compris l’objet principal de ces risques, qu’il s’agisse de l’environnement, de la santé humaine ou des deux à la fois. </w:t>
      </w:r>
    </w:p>
    <w:p w14:paraId="5584B61F" w14:textId="77777777" w:rsidR="004C570A" w:rsidRPr="008E4D6C" w:rsidRDefault="004C570A" w:rsidP="004C570A">
      <w:pPr>
        <w:pStyle w:val="CH2"/>
        <w:rPr>
          <w:lang w:val="fr-FR"/>
        </w:rPr>
      </w:pPr>
      <w:r w:rsidRPr="008E4D6C">
        <w:rPr>
          <w:lang w:val="fr-FR"/>
        </w:rPr>
        <w:tab/>
        <w:t>E.</w:t>
      </w:r>
      <w:r w:rsidRPr="008E4D6C">
        <w:rPr>
          <w:lang w:val="fr-FR"/>
        </w:rPr>
        <w:tab/>
        <w:t>Options de gestion des risques présentés par les sites contaminés</w:t>
      </w:r>
    </w:p>
    <w:p w14:paraId="5F4B9DD9" w14:textId="77777777" w:rsidR="004C570A" w:rsidRPr="008E4D6C" w:rsidRDefault="004C570A" w:rsidP="004C570A">
      <w:pPr>
        <w:pStyle w:val="Normalnumber"/>
        <w:numPr>
          <w:ilvl w:val="0"/>
          <w:numId w:val="6"/>
        </w:numPr>
        <w:ind w:left="1276"/>
        <w:rPr>
          <w:b/>
          <w:bCs/>
        </w:rPr>
      </w:pPr>
      <w:r w:rsidRPr="008E4D6C">
        <w:t xml:space="preserve">Une fois qu’un site contaminé a été évalué, il est nécessaire de prendre des décisions au niveau national quant aux meilleurs moyens de le gérer. Les orientations contiendront des informations sur diverses solutions de gestion des risques que présentent les sites contaminés. Elles prendront en compte la nécessité de protéger les êtres humains et l’environnement tout au long du processus de gestion des risques et de mener toute action de manière écologiquement rationnelle. </w:t>
      </w:r>
    </w:p>
    <w:p w14:paraId="72F37ED2" w14:textId="77777777" w:rsidR="004C570A" w:rsidRPr="008E4D6C" w:rsidRDefault="004C570A" w:rsidP="004C570A">
      <w:pPr>
        <w:pStyle w:val="CH2"/>
        <w:rPr>
          <w:lang w:val="fr-FR"/>
        </w:rPr>
      </w:pPr>
      <w:r w:rsidRPr="008E4D6C">
        <w:rPr>
          <w:lang w:val="fr-FR"/>
        </w:rPr>
        <w:tab/>
        <w:t>F.</w:t>
      </w:r>
      <w:r w:rsidRPr="008E4D6C">
        <w:rPr>
          <w:lang w:val="fr-FR"/>
        </w:rPr>
        <w:tab/>
        <w:t>Évaluation des avantages et des coûts</w:t>
      </w:r>
    </w:p>
    <w:p w14:paraId="02553B33" w14:textId="77777777" w:rsidR="004C570A" w:rsidRPr="008E4D6C" w:rsidRDefault="004C570A" w:rsidP="004C570A">
      <w:pPr>
        <w:pStyle w:val="Normalnumber"/>
        <w:numPr>
          <w:ilvl w:val="0"/>
          <w:numId w:val="6"/>
        </w:numPr>
        <w:ind w:left="1276"/>
        <w:rPr>
          <w:b/>
          <w:bCs/>
        </w:rPr>
      </w:pPr>
      <w:r w:rsidRPr="008E4D6C">
        <w:t xml:space="preserve">On sait que l’identification, la caractérisation, l’évaluation et la remise en état des sites contaminés engendreront des coûts ; cependant, on sait également que les effets du mercure et des composés du mercure sur les populations locales et l’environnement engendrent aussi des coûts. Les orientations fourniront des informations permettant d’évaluer au mieux les coûts et avantages des activités menées dans les sites contaminés, tout en reconnaissant qu’il y aura des variations entre les pays quant au coût des interventions. </w:t>
      </w:r>
    </w:p>
    <w:p w14:paraId="1ACCBF37" w14:textId="77777777" w:rsidR="004C570A" w:rsidRPr="008E4D6C" w:rsidRDefault="004C570A" w:rsidP="004C570A">
      <w:pPr>
        <w:pStyle w:val="CH2"/>
        <w:rPr>
          <w:lang w:val="fr-FR"/>
        </w:rPr>
      </w:pPr>
      <w:r w:rsidRPr="008E4D6C">
        <w:rPr>
          <w:lang w:val="fr-FR"/>
        </w:rPr>
        <w:tab/>
        <w:t>G.</w:t>
      </w:r>
      <w:r w:rsidRPr="008E4D6C">
        <w:rPr>
          <w:lang w:val="fr-FR"/>
        </w:rPr>
        <w:tab/>
        <w:t>Validation des résultats</w:t>
      </w:r>
    </w:p>
    <w:p w14:paraId="3BD0507D" w14:textId="77777777" w:rsidR="004C570A" w:rsidRPr="008E4D6C" w:rsidRDefault="004C570A" w:rsidP="004C570A">
      <w:pPr>
        <w:pStyle w:val="Normalnumber"/>
        <w:numPr>
          <w:ilvl w:val="0"/>
          <w:numId w:val="6"/>
        </w:numPr>
        <w:ind w:left="1276"/>
        <w:rPr>
          <w:b/>
          <w:bCs/>
        </w:rPr>
      </w:pPr>
      <w:r w:rsidRPr="008E4D6C">
        <w:t>Il est nécessaire de valider les résultats de toute activité achevée dans un site contaminé, notamment pour déterminer l’efficacité des interventions menées et déterminer s’il faut mener d’autres activités. Les orientations contiendront des informations sur les activités nécessaires à la validation des résultats.</w:t>
      </w:r>
    </w:p>
    <w:p w14:paraId="41AC9C09" w14:textId="77777777" w:rsidR="004C570A" w:rsidRPr="008E4D6C" w:rsidRDefault="004C570A" w:rsidP="004C570A">
      <w:pPr>
        <w:pStyle w:val="CH2"/>
        <w:rPr>
          <w:lang w:val="fr-FR"/>
        </w:rPr>
      </w:pPr>
      <w:r w:rsidRPr="008E4D6C">
        <w:rPr>
          <w:lang w:val="fr-FR"/>
        </w:rPr>
        <w:tab/>
        <w:t>H.</w:t>
      </w:r>
      <w:r w:rsidRPr="008E4D6C">
        <w:rPr>
          <w:lang w:val="fr-FR"/>
        </w:rPr>
        <w:tab/>
        <w:t xml:space="preserve">Coopération pour l’élaboration de stratégies et l’exécution d’activités visant à identifier, évaluer, classer par ordre de priorité, gérer et, s’il y a lieu, remettre en état les sites contaminés </w:t>
      </w:r>
    </w:p>
    <w:p w14:paraId="15EAC9D5" w14:textId="77777777" w:rsidR="004C570A" w:rsidRPr="008E4D6C" w:rsidRDefault="004C570A" w:rsidP="004C570A">
      <w:pPr>
        <w:pStyle w:val="Normalnumber"/>
        <w:numPr>
          <w:ilvl w:val="0"/>
          <w:numId w:val="6"/>
        </w:numPr>
        <w:ind w:left="1276"/>
        <w:rPr>
          <w:b/>
          <w:bCs/>
        </w:rPr>
      </w:pPr>
      <w:r w:rsidRPr="008E4D6C">
        <w:t xml:space="preserve">Cette section exposera les stratégies possibles à disposition des Parties souhaitant coopérer dans le cadre des activités en lien avec les sites contaminés. Les stratégies en question pourraient comprendre des activités de mise en commun de l’information, la définition des solutions possibles </w:t>
      </w:r>
      <w:r w:rsidRPr="008E4D6C">
        <w:lastRenderedPageBreak/>
        <w:t>pour une évaluation conjointe des sites, la coordination des plans de communication ayant trait aux sites et d’autres activités de coopération, s’il y a lieu.</w:t>
      </w:r>
    </w:p>
    <w:p w14:paraId="12F42EBF" w14:textId="77777777" w:rsidR="00564594" w:rsidRPr="00564594" w:rsidRDefault="00564594" w:rsidP="00564594">
      <w:pPr>
        <w:pStyle w:val="CH2"/>
        <w:rPr>
          <w:lang w:val="fr-FR"/>
        </w:rPr>
      </w:pPr>
    </w:p>
    <w:sectPr w:rsidR="00564594" w:rsidRPr="00564594" w:rsidSect="00064DA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57B9E" w14:textId="77777777" w:rsidR="009F0BBB" w:rsidRDefault="009F0BBB">
      <w:r>
        <w:separator/>
      </w:r>
    </w:p>
  </w:endnote>
  <w:endnote w:type="continuationSeparator" w:id="0">
    <w:p w14:paraId="167EA54F" w14:textId="77777777" w:rsidR="009F0BBB" w:rsidRDefault="009F0BBB">
      <w:r>
        <w:continuationSeparator/>
      </w:r>
    </w:p>
  </w:endnote>
  <w:endnote w:type="continuationNotice" w:id="1">
    <w:p w14:paraId="5F8B930C" w14:textId="77777777" w:rsidR="009F0BBB" w:rsidRDefault="009F0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573" w14:textId="78827440" w:rsidR="00853842" w:rsidRPr="00D25175" w:rsidRDefault="00853842">
    <w:pPr>
      <w:pStyle w:val="Footer"/>
      <w:rPr>
        <w:sz w:val="20"/>
      </w:rPr>
    </w:pPr>
    <w:r w:rsidRPr="00D25175">
      <w:rPr>
        <w:sz w:val="20"/>
      </w:rPr>
      <w:t>K17</w:t>
    </w:r>
    <w:r>
      <w:rPr>
        <w:sz w:val="20"/>
      </w:rPr>
      <w:t>08820</w:t>
    </w:r>
    <w:r w:rsidRPr="00D25175">
      <w:rPr>
        <w:sz w:val="20"/>
      </w:rPr>
      <w:tab/>
    </w:r>
    <w:r>
      <w:rPr>
        <w:sz w:val="20"/>
      </w:rPr>
      <w:t>160218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274EA" w14:textId="77777777" w:rsidR="009F0BBB" w:rsidRDefault="009F0BBB" w:rsidP="00D92DE0">
      <w:pPr>
        <w:ind w:left="624"/>
      </w:pPr>
      <w:r>
        <w:separator/>
      </w:r>
    </w:p>
  </w:footnote>
  <w:footnote w:type="continuationSeparator" w:id="0">
    <w:p w14:paraId="398F1041" w14:textId="77777777" w:rsidR="009F0BBB" w:rsidRDefault="009F0BBB">
      <w:r>
        <w:continuationSeparator/>
      </w:r>
    </w:p>
  </w:footnote>
  <w:footnote w:type="continuationNotice" w:id="1">
    <w:p w14:paraId="0D78F7F6" w14:textId="77777777" w:rsidR="009F0BBB" w:rsidRDefault="009F0B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3D0F105C" w:rsidR="00853842" w:rsidRPr="00CA5CA9" w:rsidRDefault="00853842" w:rsidP="006B4C09">
    <w:pPr>
      <w:pStyle w:val="Header-pool"/>
    </w:pPr>
    <w:r w:rsidRPr="00CA5CA9">
      <w:rPr>
        <w:bCs/>
      </w:rPr>
      <w:t>UNEP</w:t>
    </w:r>
    <w:r w:rsidRPr="00CA5CA9">
      <w:t>/</w:t>
    </w:r>
    <w:r>
      <w:t>MC</w:t>
    </w:r>
    <w:r w:rsidRPr="00CA5CA9">
      <w:t>/</w:t>
    </w:r>
    <w:r>
      <w:t>COP.1</w:t>
    </w:r>
    <w:r w:rsidRPr="00CA5CA9">
      <w:t>/</w:t>
    </w:r>
    <w:r w:rsidR="00AE5B5A">
      <w:t>Dec.</w:t>
    </w:r>
    <w:r w:rsidR="004C570A">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670EF415" w:rsidR="00853842" w:rsidRPr="00CA5CA9" w:rsidRDefault="0085384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sidR="00AE5B5A">
      <w:t>Dec.</w:t>
    </w:r>
    <w:r w:rsidR="004C570A">
      <w:rPr>
        <w:szCs w:val="18"/>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29D"/>
    <w:multiLevelType w:val="hybridMultilevel"/>
    <w:tmpl w:val="F8764CCE"/>
    <w:lvl w:ilvl="0" w:tplc="1A9AD528">
      <w:start w:val="1"/>
      <w:numFmt w:val="upperRoman"/>
      <w:lvlText w:val="%1."/>
      <w:lvlJc w:val="left"/>
      <w:pPr>
        <w:ind w:left="1344" w:hanging="720"/>
      </w:pPr>
      <w:rPr>
        <w:b/>
      </w:rPr>
    </w:lvl>
    <w:lvl w:ilvl="1" w:tplc="04090019">
      <w:start w:val="1"/>
      <w:numFmt w:val="lowerLetter"/>
      <w:lvlText w:val="%2."/>
      <w:lvlJc w:val="left"/>
      <w:pPr>
        <w:ind w:left="1704" w:hanging="360"/>
      </w:pPr>
    </w:lvl>
    <w:lvl w:ilvl="2" w:tplc="0409001B">
      <w:start w:val="1"/>
      <w:numFmt w:val="lowerRoman"/>
      <w:lvlText w:val="%3."/>
      <w:lvlJc w:val="right"/>
      <w:pPr>
        <w:ind w:left="2424" w:hanging="180"/>
      </w:pPr>
    </w:lvl>
    <w:lvl w:ilvl="3" w:tplc="0409000F">
      <w:start w:val="1"/>
      <w:numFmt w:val="decimal"/>
      <w:lvlText w:val="%4."/>
      <w:lvlJc w:val="left"/>
      <w:pPr>
        <w:ind w:left="3144" w:hanging="360"/>
      </w:pPr>
    </w:lvl>
    <w:lvl w:ilvl="4" w:tplc="04090019">
      <w:start w:val="1"/>
      <w:numFmt w:val="lowerLetter"/>
      <w:lvlText w:val="%5."/>
      <w:lvlJc w:val="left"/>
      <w:pPr>
        <w:ind w:left="3864" w:hanging="360"/>
      </w:pPr>
    </w:lvl>
    <w:lvl w:ilvl="5" w:tplc="0409001B">
      <w:start w:val="1"/>
      <w:numFmt w:val="lowerRoman"/>
      <w:lvlText w:val="%6."/>
      <w:lvlJc w:val="right"/>
      <w:pPr>
        <w:ind w:left="4584" w:hanging="180"/>
      </w:pPr>
    </w:lvl>
    <w:lvl w:ilvl="6" w:tplc="0409000F">
      <w:start w:val="1"/>
      <w:numFmt w:val="decimal"/>
      <w:lvlText w:val="%7."/>
      <w:lvlJc w:val="left"/>
      <w:pPr>
        <w:ind w:left="5304" w:hanging="360"/>
      </w:pPr>
    </w:lvl>
    <w:lvl w:ilvl="7" w:tplc="04090019">
      <w:start w:val="1"/>
      <w:numFmt w:val="lowerLetter"/>
      <w:lvlText w:val="%8."/>
      <w:lvlJc w:val="left"/>
      <w:pPr>
        <w:ind w:left="6024" w:hanging="360"/>
      </w:pPr>
    </w:lvl>
    <w:lvl w:ilvl="8" w:tplc="0409001B">
      <w:start w:val="1"/>
      <w:numFmt w:val="lowerRoman"/>
      <w:lvlText w:val="%9."/>
      <w:lvlJc w:val="right"/>
      <w:pPr>
        <w:ind w:left="6744" w:hanging="180"/>
      </w:pPr>
    </w:lvl>
  </w:abstractNum>
  <w:abstractNum w:abstractNumId="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8182059"/>
    <w:multiLevelType w:val="multilevel"/>
    <w:tmpl w:val="6A743C6C"/>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 w15:restartNumberingAfterBreak="0">
    <w:nsid w:val="0E0B5E09"/>
    <w:multiLevelType w:val="hybridMultilevel"/>
    <w:tmpl w:val="E9D2B9D4"/>
    <w:numStyleLink w:val="Importeradestilen14"/>
  </w:abstractNum>
  <w:abstractNum w:abstractNumId="4" w15:restartNumberingAfterBreak="0">
    <w:nsid w:val="10F41B49"/>
    <w:multiLevelType w:val="hybridMultilevel"/>
    <w:tmpl w:val="F8EAB15E"/>
    <w:lvl w:ilvl="0" w:tplc="294A7B7C">
      <w:start w:val="1"/>
      <w:numFmt w:val="decimal"/>
      <w:lvlText w:val="%1."/>
      <w:lvlJc w:val="left"/>
      <w:pPr>
        <w:ind w:left="1636" w:hanging="360"/>
      </w:pPr>
      <w:rPr>
        <w:rFonts w:hint="default"/>
        <w:b w:val="0"/>
        <w:i w:val="0"/>
      </w:rPr>
    </w:lvl>
    <w:lvl w:ilvl="1" w:tplc="04090017">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0133B8C"/>
    <w:multiLevelType w:val="hybridMultilevel"/>
    <w:tmpl w:val="78CE10DE"/>
    <w:lvl w:ilvl="0" w:tplc="0809000F">
      <w:start w:val="1"/>
      <w:numFmt w:val="decimal"/>
      <w:lvlText w:val="%1."/>
      <w:lvlJc w:val="left"/>
      <w:pPr>
        <w:ind w:left="2531" w:hanging="360"/>
      </w:pPr>
    </w:lvl>
    <w:lvl w:ilvl="1" w:tplc="08090019" w:tentative="1">
      <w:start w:val="1"/>
      <w:numFmt w:val="lowerLetter"/>
      <w:lvlText w:val="%2."/>
      <w:lvlJc w:val="left"/>
      <w:pPr>
        <w:ind w:left="3251" w:hanging="360"/>
      </w:pPr>
    </w:lvl>
    <w:lvl w:ilvl="2" w:tplc="0809001B" w:tentative="1">
      <w:start w:val="1"/>
      <w:numFmt w:val="lowerRoman"/>
      <w:lvlText w:val="%3."/>
      <w:lvlJc w:val="right"/>
      <w:pPr>
        <w:ind w:left="3971" w:hanging="180"/>
      </w:pPr>
    </w:lvl>
    <w:lvl w:ilvl="3" w:tplc="0809000F" w:tentative="1">
      <w:start w:val="1"/>
      <w:numFmt w:val="decimal"/>
      <w:lvlText w:val="%4."/>
      <w:lvlJc w:val="left"/>
      <w:pPr>
        <w:ind w:left="4691" w:hanging="360"/>
      </w:pPr>
    </w:lvl>
    <w:lvl w:ilvl="4" w:tplc="08090019" w:tentative="1">
      <w:start w:val="1"/>
      <w:numFmt w:val="lowerLetter"/>
      <w:lvlText w:val="%5."/>
      <w:lvlJc w:val="left"/>
      <w:pPr>
        <w:ind w:left="5411" w:hanging="360"/>
      </w:pPr>
    </w:lvl>
    <w:lvl w:ilvl="5" w:tplc="0809001B" w:tentative="1">
      <w:start w:val="1"/>
      <w:numFmt w:val="lowerRoman"/>
      <w:lvlText w:val="%6."/>
      <w:lvlJc w:val="right"/>
      <w:pPr>
        <w:ind w:left="6131" w:hanging="180"/>
      </w:pPr>
    </w:lvl>
    <w:lvl w:ilvl="6" w:tplc="0809000F" w:tentative="1">
      <w:start w:val="1"/>
      <w:numFmt w:val="decimal"/>
      <w:lvlText w:val="%7."/>
      <w:lvlJc w:val="left"/>
      <w:pPr>
        <w:ind w:left="6851" w:hanging="360"/>
      </w:pPr>
    </w:lvl>
    <w:lvl w:ilvl="7" w:tplc="08090019" w:tentative="1">
      <w:start w:val="1"/>
      <w:numFmt w:val="lowerLetter"/>
      <w:lvlText w:val="%8."/>
      <w:lvlJc w:val="left"/>
      <w:pPr>
        <w:ind w:left="7571" w:hanging="360"/>
      </w:pPr>
    </w:lvl>
    <w:lvl w:ilvl="8" w:tplc="0809001B" w:tentative="1">
      <w:start w:val="1"/>
      <w:numFmt w:val="lowerRoman"/>
      <w:lvlText w:val="%9."/>
      <w:lvlJc w:val="right"/>
      <w:pPr>
        <w:ind w:left="8291" w:hanging="180"/>
      </w:pPr>
    </w:lvl>
  </w:abstractNum>
  <w:abstractNum w:abstractNumId="7"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28C9598C"/>
    <w:multiLevelType w:val="hybridMultilevel"/>
    <w:tmpl w:val="2F66C8FA"/>
    <w:numStyleLink w:val="Importeradestilen12"/>
  </w:abstractNum>
  <w:abstractNum w:abstractNumId="9"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3F666A"/>
    <w:multiLevelType w:val="hybridMultilevel"/>
    <w:tmpl w:val="CF102ED6"/>
    <w:lvl w:ilvl="0" w:tplc="6E2AD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85204"/>
    <w:multiLevelType w:val="hybridMultilevel"/>
    <w:tmpl w:val="A896055A"/>
    <w:lvl w:ilvl="0" w:tplc="9BEADC6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87A78"/>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6" w15:restartNumberingAfterBreak="0">
    <w:nsid w:val="391D4778"/>
    <w:multiLevelType w:val="hybridMultilevel"/>
    <w:tmpl w:val="383A7678"/>
    <w:numStyleLink w:val="Importeradestilen15"/>
  </w:abstractNum>
  <w:abstractNum w:abstractNumId="17" w15:restartNumberingAfterBreak="0">
    <w:nsid w:val="3C7B7054"/>
    <w:multiLevelType w:val="hybridMultilevel"/>
    <w:tmpl w:val="2B1886D8"/>
    <w:lvl w:ilvl="0" w:tplc="781E93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21E93"/>
    <w:multiLevelType w:val="hybridMultilevel"/>
    <w:tmpl w:val="A2A62A8A"/>
    <w:lvl w:ilvl="0" w:tplc="4D1CB634">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9" w15:restartNumberingAfterBreak="0">
    <w:nsid w:val="4F192813"/>
    <w:multiLevelType w:val="hybridMultilevel"/>
    <w:tmpl w:val="35464E1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0" w15:restartNumberingAfterBreak="0">
    <w:nsid w:val="52A66A9D"/>
    <w:multiLevelType w:val="multilevel"/>
    <w:tmpl w:val="F4ACF36E"/>
    <w:styleLink w:val="Normallist"/>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5FE34526"/>
    <w:multiLevelType w:val="hybridMultilevel"/>
    <w:tmpl w:val="D07A6E4C"/>
    <w:lvl w:ilvl="0" w:tplc="6B38BBA4">
      <w:start w:val="1"/>
      <w:numFmt w:val="decimal"/>
      <w:lvlText w:val="%1."/>
      <w:lvlJc w:val="left"/>
      <w:pPr>
        <w:tabs>
          <w:tab w:val="num" w:pos="1134"/>
        </w:tabs>
        <w:ind w:left="1247" w:firstLine="0"/>
      </w:pPr>
    </w:lvl>
    <w:lvl w:ilvl="1" w:tplc="2010832C">
      <w:start w:val="1"/>
      <w:numFmt w:val="lowerLetter"/>
      <w:lvlText w:val="(%2)"/>
      <w:lvlJc w:val="left"/>
      <w:pPr>
        <w:tabs>
          <w:tab w:val="num" w:pos="1134"/>
        </w:tabs>
        <w:ind w:left="1247" w:firstLine="567"/>
      </w:pPr>
    </w:lvl>
    <w:lvl w:ilvl="2" w:tplc="8E6C2BA4">
      <w:start w:val="1"/>
      <w:numFmt w:val="lowerRoman"/>
      <w:lvlText w:val="(%3)"/>
      <w:lvlJc w:val="left"/>
      <w:pPr>
        <w:tabs>
          <w:tab w:val="num" w:pos="1134"/>
        </w:tabs>
        <w:ind w:left="2948" w:hanging="567"/>
      </w:pPr>
    </w:lvl>
    <w:lvl w:ilvl="3" w:tplc="9B4E8D44">
      <w:start w:val="1"/>
      <w:numFmt w:val="lowerLetter"/>
      <w:lvlText w:val="%4."/>
      <w:lvlJc w:val="left"/>
      <w:pPr>
        <w:tabs>
          <w:tab w:val="num" w:pos="1134"/>
        </w:tabs>
        <w:ind w:left="3515" w:hanging="567"/>
      </w:pPr>
    </w:lvl>
    <w:lvl w:ilvl="4" w:tplc="047C88B0">
      <w:start w:val="1"/>
      <w:numFmt w:val="lowerRoman"/>
      <w:lvlText w:val="%5."/>
      <w:lvlJc w:val="left"/>
      <w:pPr>
        <w:tabs>
          <w:tab w:val="num" w:pos="1134"/>
        </w:tabs>
        <w:ind w:left="4082" w:hanging="567"/>
      </w:pPr>
    </w:lvl>
    <w:lvl w:ilvl="5" w:tplc="4586B8AA">
      <w:start w:val="1"/>
      <w:numFmt w:val="lowerRoman"/>
      <w:lvlText w:val="%6."/>
      <w:lvlJc w:val="right"/>
      <w:pPr>
        <w:tabs>
          <w:tab w:val="num" w:pos="7835"/>
        </w:tabs>
        <w:ind w:left="7835" w:hanging="180"/>
      </w:pPr>
    </w:lvl>
    <w:lvl w:ilvl="6" w:tplc="F1CE018A">
      <w:start w:val="1"/>
      <w:numFmt w:val="decimal"/>
      <w:lvlText w:val="%7."/>
      <w:lvlJc w:val="left"/>
      <w:pPr>
        <w:tabs>
          <w:tab w:val="num" w:pos="8555"/>
        </w:tabs>
        <w:ind w:left="8555" w:hanging="360"/>
      </w:pPr>
    </w:lvl>
    <w:lvl w:ilvl="7" w:tplc="79FA11B8">
      <w:start w:val="1"/>
      <w:numFmt w:val="lowerLetter"/>
      <w:lvlText w:val="%8."/>
      <w:lvlJc w:val="left"/>
      <w:pPr>
        <w:tabs>
          <w:tab w:val="num" w:pos="9275"/>
        </w:tabs>
        <w:ind w:left="9275" w:hanging="360"/>
      </w:pPr>
    </w:lvl>
    <w:lvl w:ilvl="8" w:tplc="04D26BA6">
      <w:start w:val="1"/>
      <w:numFmt w:val="lowerRoman"/>
      <w:lvlText w:val="%9."/>
      <w:lvlJc w:val="right"/>
      <w:pPr>
        <w:tabs>
          <w:tab w:val="num" w:pos="9995"/>
        </w:tabs>
        <w:ind w:left="9995" w:hanging="180"/>
      </w:pPr>
    </w:lvl>
  </w:abstractNum>
  <w:abstractNum w:abstractNumId="22" w15:restartNumberingAfterBreak="0">
    <w:nsid w:val="62291BF8"/>
    <w:multiLevelType w:val="multilevel"/>
    <w:tmpl w:val="F4ACF36E"/>
    <w:numStyleLink w:val="Normallist"/>
  </w:abstractNum>
  <w:abstractNum w:abstractNumId="23" w15:restartNumberingAfterBreak="0">
    <w:nsid w:val="658E3431"/>
    <w:multiLevelType w:val="hybridMultilevel"/>
    <w:tmpl w:val="F4ACF36E"/>
    <w:numStyleLink w:val="Normallist"/>
  </w:abstractNum>
  <w:abstractNum w:abstractNumId="24" w15:restartNumberingAfterBreak="0">
    <w:nsid w:val="6632515B"/>
    <w:multiLevelType w:val="hybridMultilevel"/>
    <w:tmpl w:val="88D4D156"/>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 w:ilvl="1" w:tplc="08090003">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25" w15:restartNumberingAfterBreak="0">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6" w15:restartNumberingAfterBreak="0">
    <w:nsid w:val="785F35A5"/>
    <w:multiLevelType w:val="hybridMultilevel"/>
    <w:tmpl w:val="6C4ADC2E"/>
    <w:lvl w:ilvl="0" w:tplc="08090003">
      <w:start w:val="1"/>
      <w:numFmt w:val="bullet"/>
      <w:lvlText w:val="o"/>
      <w:lvlJc w:val="left"/>
      <w:pPr>
        <w:ind w:left="3870" w:hanging="360"/>
      </w:pPr>
      <w:rPr>
        <w:rFonts w:ascii="Courier New" w:hAnsi="Courier New" w:cs="Courier New" w:hint="default"/>
      </w:rPr>
    </w:lvl>
    <w:lvl w:ilvl="1" w:tplc="040C0003">
      <w:start w:val="1"/>
      <w:numFmt w:val="bullet"/>
      <w:lvlText w:val="o"/>
      <w:lvlJc w:val="left"/>
      <w:pPr>
        <w:ind w:left="4590" w:hanging="360"/>
      </w:pPr>
      <w:rPr>
        <w:rFonts w:ascii="Courier New" w:hAnsi="Courier New" w:cs="Courier New" w:hint="default"/>
      </w:rPr>
    </w:lvl>
    <w:lvl w:ilvl="2" w:tplc="040C0005" w:tentative="1">
      <w:start w:val="1"/>
      <w:numFmt w:val="bullet"/>
      <w:lvlText w:val=""/>
      <w:lvlJc w:val="left"/>
      <w:pPr>
        <w:ind w:left="5310" w:hanging="360"/>
      </w:pPr>
      <w:rPr>
        <w:rFonts w:ascii="Wingdings" w:hAnsi="Wingdings" w:hint="default"/>
      </w:rPr>
    </w:lvl>
    <w:lvl w:ilvl="3" w:tplc="040C0019">
      <w:start w:val="1"/>
      <w:numFmt w:val="lowerLetter"/>
      <w:lvlText w:val="%4."/>
      <w:lvlJc w:val="left"/>
      <w:pPr>
        <w:ind w:left="6030" w:hanging="360"/>
      </w:pPr>
      <w:rPr>
        <w:rFonts w:hint="default"/>
      </w:rPr>
    </w:lvl>
    <w:lvl w:ilvl="4" w:tplc="040C0003" w:tentative="1">
      <w:start w:val="1"/>
      <w:numFmt w:val="bullet"/>
      <w:lvlText w:val="o"/>
      <w:lvlJc w:val="left"/>
      <w:pPr>
        <w:ind w:left="6750" w:hanging="360"/>
      </w:pPr>
      <w:rPr>
        <w:rFonts w:ascii="Courier New" w:hAnsi="Courier New" w:cs="Courier New" w:hint="default"/>
      </w:rPr>
    </w:lvl>
    <w:lvl w:ilvl="5" w:tplc="040C0005" w:tentative="1">
      <w:start w:val="1"/>
      <w:numFmt w:val="bullet"/>
      <w:lvlText w:val=""/>
      <w:lvlJc w:val="left"/>
      <w:pPr>
        <w:ind w:left="7470" w:hanging="360"/>
      </w:pPr>
      <w:rPr>
        <w:rFonts w:ascii="Wingdings" w:hAnsi="Wingdings" w:hint="default"/>
      </w:rPr>
    </w:lvl>
    <w:lvl w:ilvl="6" w:tplc="040C0001" w:tentative="1">
      <w:start w:val="1"/>
      <w:numFmt w:val="bullet"/>
      <w:lvlText w:val=""/>
      <w:lvlJc w:val="left"/>
      <w:pPr>
        <w:ind w:left="8190" w:hanging="360"/>
      </w:pPr>
      <w:rPr>
        <w:rFonts w:ascii="Symbol" w:hAnsi="Symbol" w:hint="default"/>
      </w:rPr>
    </w:lvl>
    <w:lvl w:ilvl="7" w:tplc="040C0003" w:tentative="1">
      <w:start w:val="1"/>
      <w:numFmt w:val="bullet"/>
      <w:lvlText w:val="o"/>
      <w:lvlJc w:val="left"/>
      <w:pPr>
        <w:ind w:left="8910" w:hanging="360"/>
      </w:pPr>
      <w:rPr>
        <w:rFonts w:ascii="Courier New" w:hAnsi="Courier New" w:cs="Courier New" w:hint="default"/>
      </w:rPr>
    </w:lvl>
    <w:lvl w:ilvl="8" w:tplc="040C0005" w:tentative="1">
      <w:start w:val="1"/>
      <w:numFmt w:val="bullet"/>
      <w:lvlText w:val=""/>
      <w:lvlJc w:val="left"/>
      <w:pPr>
        <w:ind w:left="9630" w:hanging="360"/>
      </w:pPr>
      <w:rPr>
        <w:rFonts w:ascii="Wingdings" w:hAnsi="Wingdings" w:hint="default"/>
      </w:rPr>
    </w:lvl>
  </w:abstractNum>
  <w:num w:numId="1">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5"/>
  </w:num>
  <w:num w:numId="3">
    <w:abstractNumId w:val="14"/>
  </w:num>
  <w:num w:numId="4">
    <w:abstractNumId w:val="20"/>
  </w:num>
  <w:num w:numId="5">
    <w:abstractNumId w:val="22"/>
    <w:lvlOverride w:ilvl="0">
      <w:startOverride w:val="1"/>
      <w:lvl w:ilvl="0">
        <w:start w:val="1"/>
        <w:numFmt w:val="decimal"/>
        <w:pStyle w:val="Normalnumber"/>
        <w:lvlText w:val="%1."/>
        <w:lvlJc w:val="left"/>
        <w:pPr>
          <w:tabs>
            <w:tab w:val="num" w:pos="3938"/>
          </w:tabs>
          <w:ind w:left="4618" w:firstLine="0"/>
        </w:pPr>
        <w:rPr>
          <w:rFonts w:hint="default"/>
        </w:rPr>
      </w:lvl>
    </w:lvlOverride>
    <w:lvlOverride w:ilvl="1">
      <w:startOverride w:val="1"/>
      <w:lvl w:ilvl="1">
        <w:start w:val="1"/>
        <w:numFmt w:val="lowerLetter"/>
        <w:lvlText w:val="%2)"/>
        <w:lvlJc w:val="left"/>
        <w:pPr>
          <w:tabs>
            <w:tab w:val="num" w:pos="1675"/>
          </w:tabs>
          <w:ind w:left="2355" w:firstLine="567"/>
        </w:pPr>
        <w:rPr>
          <w:rFonts w:hint="default"/>
        </w:rPr>
      </w:lvl>
    </w:lvlOverride>
    <w:lvlOverride w:ilvl="2">
      <w:startOverride w:val="1"/>
      <w:lvl w:ilvl="2">
        <w:start w:val="1"/>
        <w:numFmt w:val="lowerRoman"/>
        <w:lvlText w:val="%3)"/>
        <w:lvlJc w:val="left"/>
        <w:pPr>
          <w:tabs>
            <w:tab w:val="num" w:pos="1675"/>
          </w:tabs>
          <w:ind w:left="4056" w:hanging="567"/>
        </w:pPr>
        <w:rPr>
          <w:rFonts w:hint="default"/>
        </w:rPr>
      </w:lvl>
    </w:lvlOverride>
    <w:lvlOverride w:ilvl="3">
      <w:startOverride w:val="1"/>
      <w:lvl w:ilvl="3">
        <w:start w:val="1"/>
        <w:numFmt w:val="lowerLetter"/>
        <w:lvlText w:val="%4."/>
        <w:lvlJc w:val="left"/>
        <w:pPr>
          <w:tabs>
            <w:tab w:val="num" w:pos="1675"/>
          </w:tabs>
          <w:ind w:left="4623" w:hanging="567"/>
        </w:pPr>
        <w:rPr>
          <w:rFonts w:hint="default"/>
        </w:rPr>
      </w:lvl>
    </w:lvlOverride>
    <w:lvlOverride w:ilvl="4">
      <w:startOverride w:val="1"/>
      <w:lvl w:ilvl="4">
        <w:start w:val="1"/>
        <w:numFmt w:val="lowerRoman"/>
        <w:lvlText w:val="%5."/>
        <w:lvlJc w:val="left"/>
        <w:pPr>
          <w:tabs>
            <w:tab w:val="num" w:pos="1675"/>
          </w:tabs>
          <w:ind w:left="5190" w:hanging="567"/>
        </w:pPr>
        <w:rPr>
          <w:rFonts w:hint="default"/>
        </w:rPr>
      </w:lvl>
    </w:lvlOverride>
    <w:lvlOverride w:ilvl="5">
      <w:startOverride w:val="1"/>
      <w:lvl w:ilvl="5">
        <w:start w:val="1"/>
        <w:numFmt w:val="lowerRoman"/>
        <w:lvlText w:val="%6."/>
        <w:lvlJc w:val="right"/>
        <w:pPr>
          <w:tabs>
            <w:tab w:val="num" w:pos="8943"/>
          </w:tabs>
          <w:ind w:left="8943" w:hanging="180"/>
        </w:pPr>
        <w:rPr>
          <w:rFonts w:hint="default"/>
        </w:rPr>
      </w:lvl>
    </w:lvlOverride>
    <w:lvlOverride w:ilvl="6">
      <w:startOverride w:val="1"/>
      <w:lvl w:ilvl="6">
        <w:start w:val="1"/>
        <w:numFmt w:val="decimal"/>
        <w:lvlText w:val="%7."/>
        <w:lvlJc w:val="left"/>
        <w:pPr>
          <w:tabs>
            <w:tab w:val="num" w:pos="9663"/>
          </w:tabs>
          <w:ind w:left="9663" w:hanging="360"/>
        </w:pPr>
        <w:rPr>
          <w:rFonts w:hint="default"/>
        </w:rPr>
      </w:lvl>
    </w:lvlOverride>
    <w:lvlOverride w:ilvl="7">
      <w:startOverride w:val="1"/>
      <w:lvl w:ilvl="7">
        <w:start w:val="1"/>
        <w:numFmt w:val="lowerLetter"/>
        <w:lvlText w:val="%8."/>
        <w:lvlJc w:val="left"/>
        <w:pPr>
          <w:tabs>
            <w:tab w:val="num" w:pos="10383"/>
          </w:tabs>
          <w:ind w:left="10383" w:hanging="360"/>
        </w:pPr>
        <w:rPr>
          <w:rFonts w:hint="default"/>
        </w:rPr>
      </w:lvl>
    </w:lvlOverride>
    <w:lvlOverride w:ilvl="8">
      <w:startOverride w:val="1"/>
      <w:lvl w:ilvl="8">
        <w:start w:val="1"/>
        <w:numFmt w:val="lowerRoman"/>
        <w:lvlText w:val="%9."/>
        <w:lvlJc w:val="right"/>
        <w:pPr>
          <w:tabs>
            <w:tab w:val="num" w:pos="11103"/>
          </w:tabs>
          <w:ind w:left="11103" w:hanging="180"/>
        </w:pPr>
        <w:rPr>
          <w:rFonts w:hint="default"/>
        </w:rPr>
      </w:lvl>
    </w:lvlOverride>
  </w:num>
  <w:num w:numId="6">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
    <w:abstractNumId w:val="21"/>
    <w:lvlOverride w:ilvl="0">
      <w:lvl w:ilvl="0" w:tplc="6B38BBA4">
        <w:start w:val="1"/>
        <w:numFmt w:val="decimal"/>
        <w:lvlText w:val="%1."/>
        <w:lvlJc w:val="left"/>
        <w:pPr>
          <w:tabs>
            <w:tab w:val="left" w:pos="1134"/>
            <w:tab w:val="num" w:pos="1872"/>
          </w:tabs>
          <w:ind w:left="1170" w:firstLine="0"/>
        </w:pPr>
        <w:rPr>
          <w:rFonts w:hAnsi="Arial Unicode MS" w:cs="Times New Roman"/>
          <w:caps w:val="0"/>
          <w:smallCaps w:val="0"/>
          <w:strike w:val="0"/>
          <w:dstrike w:val="0"/>
          <w:outline w:val="0"/>
          <w:shadow w:val="0"/>
          <w:emboss w:val="0"/>
          <w:imprint w:val="0"/>
          <w:spacing w:val="0"/>
          <w:w w:val="100"/>
          <w:kern w:val="0"/>
          <w:position w:val="0"/>
          <w:sz w:val="20"/>
          <w:szCs w:val="20"/>
          <w:u w:val="none"/>
          <w:effect w:val="none"/>
          <w:vertAlign w:val="baseline"/>
        </w:rPr>
      </w:lvl>
    </w:lvlOverride>
    <w:lvlOverride w:ilvl="1">
      <w:lvl w:ilvl="1" w:tplc="2010832C">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1CDC76A4">
        <w:numFmt w:val="decimal"/>
        <w:lvlText w:val=""/>
        <w:lvlJc w:val="left"/>
      </w:lvl>
    </w:lvlOverride>
    <w:lvlOverride w:ilvl="2">
      <w:lvl w:ilvl="2" w:tplc="FC8C270C">
        <w:numFmt w:val="decimal"/>
        <w:lvlText w:val=""/>
        <w:lvlJc w:val="left"/>
      </w:lvl>
    </w:lvlOverride>
    <w:lvlOverride w:ilvl="3">
      <w:lvl w:ilvl="3" w:tplc="496872F2">
        <w:numFmt w:val="decimal"/>
        <w:lvlText w:val=""/>
        <w:lvlJc w:val="left"/>
      </w:lvl>
    </w:lvlOverride>
    <w:lvlOverride w:ilvl="4">
      <w:lvl w:ilvl="4" w:tplc="40F0BE72">
        <w:numFmt w:val="decimal"/>
        <w:lvlText w:val=""/>
        <w:lvlJc w:val="left"/>
      </w:lvl>
    </w:lvlOverride>
    <w:lvlOverride w:ilvl="5">
      <w:lvl w:ilvl="5" w:tplc="8ECCBBCA">
        <w:numFmt w:val="decimal"/>
        <w:lvlText w:val=""/>
        <w:lvlJc w:val="left"/>
      </w:lvl>
    </w:lvlOverride>
    <w:lvlOverride w:ilvl="6">
      <w:lvl w:ilvl="6" w:tplc="E16C8928">
        <w:numFmt w:val="decimal"/>
        <w:lvlText w:val=""/>
        <w:lvlJc w:val="left"/>
      </w:lvl>
    </w:lvlOverride>
    <w:lvlOverride w:ilvl="7">
      <w:lvl w:ilvl="7" w:tplc="594E75D6">
        <w:numFmt w:val="decimal"/>
        <w:lvlText w:val=""/>
        <w:lvlJc w:val="left"/>
      </w:lvl>
    </w:lvlOverride>
    <w:lvlOverride w:ilvl="8">
      <w:lvl w:ilvl="8" w:tplc="165C44CC">
        <w:numFmt w:val="decimal"/>
        <w:lvlText w:val=""/>
        <w:lvlJc w:val="left"/>
      </w:lvl>
    </w:lvlOverride>
  </w:num>
  <w:num w:numId="12">
    <w:abstractNumId w:val="21"/>
    <w:lvlOverride w:ilvl="0">
      <w:lvl w:ilvl="0" w:tplc="6B38BBA4">
        <w:start w:val="1"/>
        <w:numFmt w:val="decimal"/>
        <w:lvlText w:val="%1."/>
        <w:lvlJc w:val="left"/>
        <w:pPr>
          <w:tabs>
            <w:tab w:val="num" w:pos="1872"/>
          </w:tabs>
          <w:ind w:left="1247" w:firstLine="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2010832C">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3">
    <w:abstractNumId w:val="23"/>
    <w:lvlOverride w:ilvl="0">
      <w:lvl w:ilvl="0" w:tplc="4B2C3D42">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 w:val="left" w:pos="4082"/>
          </w:tabs>
          <w:ind w:left="1247" w:firstLine="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23"/>
    <w:lvlOverride w:ilvl="0">
      <w:lvl w:ilvl="0" w:tplc="4B2C3D42">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7180784">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E58AAC6">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BF4C1FA">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76F662">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BAEDE54">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7427F00">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6C45526">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3CCAE02">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23"/>
    <w:lvlOverride w:ilvl="0">
      <w:lvl w:ilvl="0" w:tplc="4B2C3D42">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7180784">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E58AAC6">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BF4C1FA">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76F662">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BAEDE54">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7427F00">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6C45526">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3CCAE02">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3"/>
    <w:lvlOverride w:ilvl="0">
      <w:lvl w:ilvl="0" w:tplc="4B2C3D42">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7180784">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E58AAC6">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BF4C1FA">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76F662">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BAEDE54">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7427F00">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6C45526">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3CCAE02">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7"/>
    <w:lvlOverride w:ilvl="0">
      <w:lvl w:ilvl="0" w:tplc="781E9398">
        <w:start w:val="1"/>
        <w:numFmt w:val="decimal"/>
        <w:lvlText w:val="%1."/>
        <w:lvlJc w:val="left"/>
        <w:pPr>
          <w:ind w:left="720" w:hanging="360"/>
        </w:pPr>
        <w:rPr>
          <w:strike w:val="0"/>
        </w:rPr>
      </w:lvl>
    </w:lvlOverride>
  </w:num>
  <w:num w:numId="18">
    <w:abstractNumId w:val="11"/>
  </w:num>
  <w:num w:numId="19">
    <w:abstractNumId w:val="9"/>
  </w:num>
  <w:num w:numId="20">
    <w:abstractNumId w:val="8"/>
  </w:num>
  <w:num w:numId="21">
    <w:abstractNumId w:val="1"/>
  </w:num>
  <w:num w:numId="22">
    <w:abstractNumId w:val="3"/>
  </w:num>
  <w:num w:numId="23">
    <w:abstractNumId w:val="3"/>
    <w:lvlOverride w:ilvl="0">
      <w:lvl w:ilvl="0" w:tplc="7908BDFE">
        <w:start w:val="1"/>
        <w:numFmt w:val="lowerLetter"/>
        <w:lvlText w:val="%1)"/>
        <w:lvlJc w:val="left"/>
        <w:pPr>
          <w:tabs>
            <w:tab w:val="left" w:pos="1247"/>
            <w:tab w:val="left" w:pos="1814"/>
            <w:tab w:val="left" w:pos="2381"/>
            <w:tab w:val="left" w:pos="2948"/>
            <w:tab w:val="left" w:pos="3515"/>
            <w:tab w:val="left" w:pos="4082"/>
          </w:tabs>
          <w:ind w:left="217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5DA053B0">
        <w:start w:val="1"/>
        <w:numFmt w:val="lowerLetter"/>
        <w:lvlText w:val="%2."/>
        <w:lvlJc w:val="left"/>
        <w:pPr>
          <w:tabs>
            <w:tab w:val="left" w:pos="1247"/>
            <w:tab w:val="left" w:pos="1814"/>
            <w:tab w:val="left" w:pos="2381"/>
            <w:tab w:val="left" w:pos="2948"/>
            <w:tab w:val="left" w:pos="3515"/>
            <w:tab w:val="left" w:pos="4082"/>
          </w:tabs>
          <w:ind w:left="28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100AC4B4">
        <w:start w:val="1"/>
        <w:numFmt w:val="lowerRoman"/>
        <w:lvlText w:val="%3."/>
        <w:lvlJc w:val="left"/>
        <w:pPr>
          <w:tabs>
            <w:tab w:val="left" w:pos="1247"/>
            <w:tab w:val="left" w:pos="1814"/>
            <w:tab w:val="left" w:pos="2381"/>
            <w:tab w:val="left" w:pos="2948"/>
            <w:tab w:val="left" w:pos="4082"/>
          </w:tabs>
          <w:ind w:left="3515" w:hanging="16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E79847BE">
        <w:start w:val="1"/>
        <w:numFmt w:val="decimal"/>
        <w:lvlText w:val="%4."/>
        <w:lvlJc w:val="left"/>
        <w:pPr>
          <w:tabs>
            <w:tab w:val="left" w:pos="1247"/>
            <w:tab w:val="left" w:pos="1814"/>
            <w:tab w:val="left" w:pos="2381"/>
            <w:tab w:val="left" w:pos="2948"/>
            <w:tab w:val="left" w:pos="3515"/>
          </w:tabs>
          <w:ind w:left="4082" w:hanging="10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BC34CEFC">
        <w:start w:val="1"/>
        <w:numFmt w:val="lowerLetter"/>
        <w:lvlText w:val="%5."/>
        <w:lvlJc w:val="left"/>
        <w:pPr>
          <w:tabs>
            <w:tab w:val="left" w:pos="1247"/>
            <w:tab w:val="left" w:pos="1814"/>
            <w:tab w:val="left" w:pos="2381"/>
            <w:tab w:val="left" w:pos="2948"/>
            <w:tab w:val="left" w:pos="3515"/>
            <w:tab w:val="left" w:pos="4082"/>
          </w:tabs>
          <w:ind w:left="505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2D4289C8">
        <w:start w:val="1"/>
        <w:numFmt w:val="lowerRoman"/>
        <w:lvlText w:val="%6."/>
        <w:lvlJc w:val="left"/>
        <w:pPr>
          <w:tabs>
            <w:tab w:val="left" w:pos="1247"/>
            <w:tab w:val="left" w:pos="1814"/>
            <w:tab w:val="left" w:pos="2381"/>
            <w:tab w:val="left" w:pos="2948"/>
            <w:tab w:val="left" w:pos="3515"/>
            <w:tab w:val="left" w:pos="4082"/>
          </w:tabs>
          <w:ind w:left="5774"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3EA6C76A">
        <w:start w:val="1"/>
        <w:numFmt w:val="decimal"/>
        <w:lvlText w:val="%7."/>
        <w:lvlJc w:val="left"/>
        <w:pPr>
          <w:tabs>
            <w:tab w:val="left" w:pos="1247"/>
            <w:tab w:val="left" w:pos="1814"/>
            <w:tab w:val="left" w:pos="2381"/>
            <w:tab w:val="left" w:pos="2948"/>
            <w:tab w:val="left" w:pos="3515"/>
            <w:tab w:val="left" w:pos="4082"/>
          </w:tabs>
          <w:ind w:left="64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EA2E71B0">
        <w:start w:val="1"/>
        <w:numFmt w:val="lowerLetter"/>
        <w:lvlText w:val="%8."/>
        <w:lvlJc w:val="left"/>
        <w:pPr>
          <w:tabs>
            <w:tab w:val="left" w:pos="1247"/>
            <w:tab w:val="left" w:pos="1814"/>
            <w:tab w:val="left" w:pos="2381"/>
            <w:tab w:val="left" w:pos="2948"/>
            <w:tab w:val="left" w:pos="3515"/>
            <w:tab w:val="left" w:pos="4082"/>
          </w:tabs>
          <w:ind w:left="721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D786B9B4">
        <w:start w:val="1"/>
        <w:numFmt w:val="lowerRoman"/>
        <w:lvlText w:val="%9."/>
        <w:lvlJc w:val="left"/>
        <w:pPr>
          <w:tabs>
            <w:tab w:val="left" w:pos="1247"/>
            <w:tab w:val="left" w:pos="1814"/>
            <w:tab w:val="left" w:pos="2381"/>
            <w:tab w:val="left" w:pos="2948"/>
            <w:tab w:val="left" w:pos="3515"/>
            <w:tab w:val="left" w:pos="4082"/>
          </w:tabs>
          <w:ind w:left="7934"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4">
    <w:abstractNumId w:val="7"/>
  </w:num>
  <w:num w:numId="25">
    <w:abstractNumId w:val="16"/>
  </w:num>
  <w:num w:numId="26">
    <w:abstractNumId w:val="8"/>
    <w:lvlOverride w:ilvl="0">
      <w:startOverride w:val="2"/>
      <w:lvl w:ilvl="0" w:tplc="DFA680E0">
        <w:start w:val="2"/>
        <w:numFmt w:val="decimal"/>
        <w:lvlText w:val="%1."/>
        <w:lvlJc w:val="left"/>
        <w:pPr>
          <w:tabs>
            <w:tab w:val="left" w:pos="597"/>
            <w:tab w:val="left" w:pos="1247"/>
            <w:tab w:val="num" w:pos="1814"/>
            <w:tab w:val="left" w:pos="2381"/>
            <w:tab w:val="left" w:pos="2948"/>
            <w:tab w:val="left" w:pos="3515"/>
          </w:tabs>
          <w:ind w:left="12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6E3ED926">
        <w:start w:val="1"/>
        <w:numFmt w:val="lowerLetter"/>
        <w:lvlText w:val="(%2)"/>
        <w:lvlJc w:val="left"/>
        <w:pPr>
          <w:tabs>
            <w:tab w:val="left" w:pos="597"/>
            <w:tab w:val="left" w:pos="1247"/>
            <w:tab w:val="num" w:pos="1784"/>
            <w:tab w:val="left" w:pos="1814"/>
            <w:tab w:val="left" w:pos="2381"/>
            <w:tab w:val="left" w:pos="2948"/>
            <w:tab w:val="left" w:pos="3515"/>
          </w:tabs>
          <w:ind w:left="1247"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3092B5DA">
        <w:start w:val="1"/>
        <w:numFmt w:val="lowerRoman"/>
        <w:lvlText w:val="(%3)"/>
        <w:lvlJc w:val="left"/>
        <w:pPr>
          <w:tabs>
            <w:tab w:val="left" w:pos="597"/>
            <w:tab w:val="left" w:pos="1247"/>
            <w:tab w:val="left" w:pos="1814"/>
            <w:tab w:val="left" w:pos="2381"/>
            <w:tab w:val="left" w:pos="2948"/>
            <w:tab w:val="num" w:pos="3485"/>
            <w:tab w:val="left" w:pos="3515"/>
          </w:tabs>
          <w:ind w:left="2948"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11AAE6F2">
        <w:start w:val="1"/>
        <w:numFmt w:val="lowerLetter"/>
        <w:lvlText w:val="%4."/>
        <w:lvlJc w:val="left"/>
        <w:pPr>
          <w:tabs>
            <w:tab w:val="left" w:pos="597"/>
            <w:tab w:val="left" w:pos="1247"/>
            <w:tab w:val="left" w:pos="1814"/>
            <w:tab w:val="left" w:pos="2381"/>
            <w:tab w:val="left" w:pos="2948"/>
            <w:tab w:val="left" w:pos="3515"/>
            <w:tab w:val="num" w:pos="4052"/>
          </w:tabs>
          <w:ind w:left="3515"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8A40362C">
        <w:start w:val="1"/>
        <w:numFmt w:val="lowerLetter"/>
        <w:lvlText w:val="%5."/>
        <w:lvlJc w:val="left"/>
        <w:pPr>
          <w:tabs>
            <w:tab w:val="left" w:pos="597"/>
            <w:tab w:val="left" w:pos="1247"/>
            <w:tab w:val="left" w:pos="1814"/>
            <w:tab w:val="left" w:pos="2381"/>
            <w:tab w:val="left" w:pos="2948"/>
            <w:tab w:val="left" w:pos="3515"/>
            <w:tab w:val="num" w:pos="7085"/>
          </w:tabs>
          <w:ind w:left="654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A9B633FE">
        <w:start w:val="1"/>
        <w:numFmt w:val="lowerRoman"/>
        <w:lvlText w:val="%6."/>
        <w:lvlJc w:val="left"/>
        <w:pPr>
          <w:tabs>
            <w:tab w:val="left" w:pos="597"/>
            <w:tab w:val="left" w:pos="1247"/>
            <w:tab w:val="left" w:pos="1814"/>
            <w:tab w:val="left" w:pos="2381"/>
            <w:tab w:val="left" w:pos="2948"/>
            <w:tab w:val="left" w:pos="3515"/>
            <w:tab w:val="num" w:pos="7805"/>
          </w:tabs>
          <w:ind w:left="726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04FA2FA0">
        <w:start w:val="1"/>
        <w:numFmt w:val="decimal"/>
        <w:lvlText w:val="%7."/>
        <w:lvlJc w:val="left"/>
        <w:pPr>
          <w:tabs>
            <w:tab w:val="left" w:pos="597"/>
            <w:tab w:val="left" w:pos="1247"/>
            <w:tab w:val="left" w:pos="1814"/>
            <w:tab w:val="left" w:pos="2381"/>
            <w:tab w:val="left" w:pos="2948"/>
            <w:tab w:val="left" w:pos="3515"/>
            <w:tab w:val="num" w:pos="8525"/>
          </w:tabs>
          <w:ind w:left="798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7CA4FBE2">
        <w:start w:val="1"/>
        <w:numFmt w:val="lowerLetter"/>
        <w:lvlText w:val="%8."/>
        <w:lvlJc w:val="left"/>
        <w:pPr>
          <w:tabs>
            <w:tab w:val="left" w:pos="597"/>
            <w:tab w:val="left" w:pos="1247"/>
            <w:tab w:val="left" w:pos="1814"/>
            <w:tab w:val="left" w:pos="2381"/>
            <w:tab w:val="left" w:pos="2948"/>
            <w:tab w:val="left" w:pos="3515"/>
            <w:tab w:val="num" w:pos="9245"/>
          </w:tabs>
          <w:ind w:left="870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C024D2DC">
        <w:start w:val="1"/>
        <w:numFmt w:val="lowerRoman"/>
        <w:lvlText w:val="%9."/>
        <w:lvlJc w:val="left"/>
        <w:pPr>
          <w:tabs>
            <w:tab w:val="left" w:pos="597"/>
            <w:tab w:val="left" w:pos="1247"/>
            <w:tab w:val="left" w:pos="1814"/>
            <w:tab w:val="left" w:pos="2381"/>
            <w:tab w:val="left" w:pos="2948"/>
            <w:tab w:val="left" w:pos="3515"/>
            <w:tab w:val="num" w:pos="9965"/>
          </w:tabs>
          <w:ind w:left="942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7">
    <w:abstractNumId w:val="24"/>
    <w:lvlOverride w:ilvl="0">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Override>
  </w:num>
  <w:num w:numId="28">
    <w:abstractNumId w:val="12"/>
    <w:lvlOverride w:ilvl="0">
      <w:lvl w:ilvl="0" w:tplc="9BEADC66">
        <w:start w:val="1"/>
        <w:numFmt w:val="decimal"/>
        <w:lvlText w:val="%1."/>
        <w:lvlJc w:val="left"/>
        <w:pPr>
          <w:ind w:left="720" w:hanging="360"/>
        </w:pPr>
        <w:rPr>
          <w:b w:val="0"/>
          <w:bCs/>
        </w:rPr>
      </w:lvl>
    </w:lvlOverride>
  </w:num>
  <w:num w:numId="29">
    <w:abstractNumId w:val="2"/>
    <w:lvlOverride w:ilvl="0">
      <w:lvl w:ilvl="0">
        <w:start w:val="1"/>
        <w:numFmt w:val="lowerLetter"/>
        <w:lvlText w:val="%1)"/>
        <w:lvlJc w:val="left"/>
        <w:pPr>
          <w:tabs>
            <w:tab w:val="num" w:pos="568"/>
          </w:tabs>
          <w:ind w:left="1248" w:firstLine="0"/>
        </w:pPr>
        <w:rPr>
          <w:rFonts w:hint="default"/>
        </w:rPr>
      </w:lvl>
    </w:lvlOverride>
  </w:num>
  <w:num w:numId="30">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1">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3">
    <w:abstractNumId w:val="15"/>
  </w:num>
  <w:num w:numId="34">
    <w:abstractNumId w:val="25"/>
  </w:num>
  <w:num w:numId="35">
    <w:abstractNumId w:val="13"/>
  </w:num>
  <w:num w:numId="36">
    <w:abstractNumId w:val="4"/>
  </w:num>
  <w:num w:numId="37">
    <w:abstractNumId w:val="18"/>
    <w:lvlOverride w:ilvl="0">
      <w:lvl w:ilvl="0" w:tplc="4D1CB634">
        <w:start w:val="1"/>
        <w:numFmt w:val="decimal"/>
        <w:lvlText w:val="%1."/>
        <w:lvlJc w:val="left"/>
        <w:pPr>
          <w:ind w:left="2231" w:hanging="360"/>
        </w:pPr>
        <w:rPr>
          <w:rFonts w:hint="default"/>
          <w:i w:val="0"/>
          <w:iCs/>
        </w:rPr>
      </w:lvl>
    </w:lvlOverride>
  </w:num>
  <w:num w:numId="38">
    <w:abstractNumId w:val="22"/>
    <w:lvlOverride w:ilvl="0">
      <w:lvl w:ilvl="0">
        <w:start w:val="1"/>
        <w:numFmt w:val="decimal"/>
        <w:pStyle w:val="Normalnumber"/>
        <w:lvlText w:val="%1."/>
        <w:lvlJc w:val="left"/>
        <w:pPr>
          <w:tabs>
            <w:tab w:val="num" w:pos="2830"/>
          </w:tabs>
          <w:ind w:left="3510"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22"/>
    <w:lvlOverride w:ilvl="0">
      <w:startOverride w:val="1"/>
      <w:lvl w:ilvl="0">
        <w:start w:val="1"/>
        <w:numFmt w:val="decimal"/>
        <w:pStyle w:val="Normalnumber"/>
        <w:lvlText w:val="%1."/>
        <w:lvlJc w:val="left"/>
        <w:pPr>
          <w:tabs>
            <w:tab w:val="num" w:pos="2830"/>
          </w:tabs>
          <w:ind w:left="3510" w:firstLine="0"/>
        </w:pPr>
        <w:rPr>
          <w:rFonts w:hint="default"/>
          <w:b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0">
    <w:abstractNumId w:val="20"/>
    <w:lvlOverride w:ilvl="0">
      <w:lvl w:ilvl="0">
        <w:start w:val="1"/>
        <w:numFmt w:val="decimal"/>
        <w:pStyle w:val="Normalnumber"/>
        <w:lvlText w:val="%1."/>
        <w:lvlJc w:val="left"/>
        <w:pPr>
          <w:tabs>
            <w:tab w:val="num" w:pos="597"/>
          </w:tabs>
          <w:ind w:left="127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1">
    <w:abstractNumId w:val="20"/>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3">
    <w:abstractNumId w:val="19"/>
  </w:num>
  <w:num w:numId="44">
    <w:abstractNumId w:val="26"/>
  </w:num>
  <w:num w:numId="45">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6">
    <w:abstractNumId w:val="24"/>
  </w:num>
  <w:num w:numId="47">
    <w:abstractNumId w:val="6"/>
  </w:num>
  <w:num w:numId="48">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9">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0">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1B"/>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1B93"/>
    <w:rsid w:val="000450C6"/>
    <w:rsid w:val="00045599"/>
    <w:rsid w:val="00046103"/>
    <w:rsid w:val="00046BA4"/>
    <w:rsid w:val="00047302"/>
    <w:rsid w:val="00047771"/>
    <w:rsid w:val="00047DD8"/>
    <w:rsid w:val="000509B4"/>
    <w:rsid w:val="000513E2"/>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4DA7"/>
    <w:rsid w:val="00065BAF"/>
    <w:rsid w:val="00065D93"/>
    <w:rsid w:val="00067E24"/>
    <w:rsid w:val="00070416"/>
    <w:rsid w:val="00070D93"/>
    <w:rsid w:val="000715D5"/>
    <w:rsid w:val="0007177C"/>
    <w:rsid w:val="00071886"/>
    <w:rsid w:val="00072B8E"/>
    <w:rsid w:val="00073EAE"/>
    <w:rsid w:val="000742BC"/>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462"/>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9E6"/>
    <w:rsid w:val="001C75B3"/>
    <w:rsid w:val="001C7707"/>
    <w:rsid w:val="001D0B86"/>
    <w:rsid w:val="001D0EB9"/>
    <w:rsid w:val="001D11A9"/>
    <w:rsid w:val="001D1749"/>
    <w:rsid w:val="001D29A5"/>
    <w:rsid w:val="001D34EB"/>
    <w:rsid w:val="001D3874"/>
    <w:rsid w:val="001D4158"/>
    <w:rsid w:val="001D5DE3"/>
    <w:rsid w:val="001D7E75"/>
    <w:rsid w:val="001E0512"/>
    <w:rsid w:val="001E0D73"/>
    <w:rsid w:val="001E2004"/>
    <w:rsid w:val="001E2988"/>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887"/>
    <w:rsid w:val="001F6305"/>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6151"/>
    <w:rsid w:val="002464BE"/>
    <w:rsid w:val="00246A39"/>
    <w:rsid w:val="002473D9"/>
    <w:rsid w:val="00247707"/>
    <w:rsid w:val="002478D3"/>
    <w:rsid w:val="00247998"/>
    <w:rsid w:val="00247D22"/>
    <w:rsid w:val="00250C43"/>
    <w:rsid w:val="002525C0"/>
    <w:rsid w:val="00252FEA"/>
    <w:rsid w:val="00253F58"/>
    <w:rsid w:val="00255782"/>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629D"/>
    <w:rsid w:val="00277F0D"/>
    <w:rsid w:val="00280153"/>
    <w:rsid w:val="00280186"/>
    <w:rsid w:val="00280A9E"/>
    <w:rsid w:val="00280C10"/>
    <w:rsid w:val="0028141A"/>
    <w:rsid w:val="00281849"/>
    <w:rsid w:val="00282245"/>
    <w:rsid w:val="00284FB1"/>
    <w:rsid w:val="00286740"/>
    <w:rsid w:val="00286BD3"/>
    <w:rsid w:val="002907D8"/>
    <w:rsid w:val="00291EAE"/>
    <w:rsid w:val="00292693"/>
    <w:rsid w:val="002929D8"/>
    <w:rsid w:val="002931BC"/>
    <w:rsid w:val="00293590"/>
    <w:rsid w:val="00293CDC"/>
    <w:rsid w:val="002959C0"/>
    <w:rsid w:val="00296B5A"/>
    <w:rsid w:val="0029714A"/>
    <w:rsid w:val="00297492"/>
    <w:rsid w:val="002A00EB"/>
    <w:rsid w:val="002A0527"/>
    <w:rsid w:val="002A237D"/>
    <w:rsid w:val="002A3007"/>
    <w:rsid w:val="002A3008"/>
    <w:rsid w:val="002A438A"/>
    <w:rsid w:val="002A4A0A"/>
    <w:rsid w:val="002A4C53"/>
    <w:rsid w:val="002A6539"/>
    <w:rsid w:val="002A6FAC"/>
    <w:rsid w:val="002A7DA5"/>
    <w:rsid w:val="002B0672"/>
    <w:rsid w:val="002B06AD"/>
    <w:rsid w:val="002B0A8A"/>
    <w:rsid w:val="002B0CDB"/>
    <w:rsid w:val="002B1358"/>
    <w:rsid w:val="002B1420"/>
    <w:rsid w:val="002B1CA8"/>
    <w:rsid w:val="002B247F"/>
    <w:rsid w:val="002B2C46"/>
    <w:rsid w:val="002B3052"/>
    <w:rsid w:val="002B46F0"/>
    <w:rsid w:val="002B50D4"/>
    <w:rsid w:val="002B58BF"/>
    <w:rsid w:val="002B5E8F"/>
    <w:rsid w:val="002B6354"/>
    <w:rsid w:val="002B702C"/>
    <w:rsid w:val="002B78BF"/>
    <w:rsid w:val="002B78ED"/>
    <w:rsid w:val="002C145D"/>
    <w:rsid w:val="002C1501"/>
    <w:rsid w:val="002C1B41"/>
    <w:rsid w:val="002C1BAB"/>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68C8"/>
    <w:rsid w:val="002D7343"/>
    <w:rsid w:val="002D7A85"/>
    <w:rsid w:val="002D7B60"/>
    <w:rsid w:val="002E06D1"/>
    <w:rsid w:val="002E149C"/>
    <w:rsid w:val="002E26FC"/>
    <w:rsid w:val="002E4C4E"/>
    <w:rsid w:val="002E57D3"/>
    <w:rsid w:val="002E5C38"/>
    <w:rsid w:val="002E7D56"/>
    <w:rsid w:val="002F04E4"/>
    <w:rsid w:val="002F4761"/>
    <w:rsid w:val="002F48F4"/>
    <w:rsid w:val="002F5C79"/>
    <w:rsid w:val="002F5D57"/>
    <w:rsid w:val="002F610B"/>
    <w:rsid w:val="002F62ED"/>
    <w:rsid w:val="002F68EE"/>
    <w:rsid w:val="00300A47"/>
    <w:rsid w:val="003018A6"/>
    <w:rsid w:val="003019E2"/>
    <w:rsid w:val="00303BEF"/>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4117"/>
    <w:rsid w:val="00366DEC"/>
    <w:rsid w:val="003703B8"/>
    <w:rsid w:val="00371D89"/>
    <w:rsid w:val="00371E75"/>
    <w:rsid w:val="0037412B"/>
    <w:rsid w:val="003753B1"/>
    <w:rsid w:val="00375513"/>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FD0"/>
    <w:rsid w:val="003A54D4"/>
    <w:rsid w:val="003A5671"/>
    <w:rsid w:val="003A69D1"/>
    <w:rsid w:val="003A70B9"/>
    <w:rsid w:val="003A76B1"/>
    <w:rsid w:val="003A7705"/>
    <w:rsid w:val="003A77F1"/>
    <w:rsid w:val="003A7B61"/>
    <w:rsid w:val="003B0505"/>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53F0"/>
    <w:rsid w:val="003C5583"/>
    <w:rsid w:val="003C59BA"/>
    <w:rsid w:val="003C5AC0"/>
    <w:rsid w:val="003C5BA6"/>
    <w:rsid w:val="003C5D84"/>
    <w:rsid w:val="003C61E3"/>
    <w:rsid w:val="003C74CF"/>
    <w:rsid w:val="003C7545"/>
    <w:rsid w:val="003D16FB"/>
    <w:rsid w:val="003D20AA"/>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2048"/>
    <w:rsid w:val="00432EBA"/>
    <w:rsid w:val="00433266"/>
    <w:rsid w:val="0043339F"/>
    <w:rsid w:val="004342FE"/>
    <w:rsid w:val="004373C1"/>
    <w:rsid w:val="00437BE8"/>
    <w:rsid w:val="00437F26"/>
    <w:rsid w:val="00440CFD"/>
    <w:rsid w:val="00441680"/>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6A20"/>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70A"/>
    <w:rsid w:val="004C589D"/>
    <w:rsid w:val="004C5C96"/>
    <w:rsid w:val="004C635D"/>
    <w:rsid w:val="004C67BC"/>
    <w:rsid w:val="004C782C"/>
    <w:rsid w:val="004C7BC9"/>
    <w:rsid w:val="004D06A4"/>
    <w:rsid w:val="004D08F0"/>
    <w:rsid w:val="004D0F3B"/>
    <w:rsid w:val="004D1C34"/>
    <w:rsid w:val="004D2192"/>
    <w:rsid w:val="004D26AF"/>
    <w:rsid w:val="004D30B9"/>
    <w:rsid w:val="004D3889"/>
    <w:rsid w:val="004D3918"/>
    <w:rsid w:val="004D449D"/>
    <w:rsid w:val="004E251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4594"/>
    <w:rsid w:val="005656D7"/>
    <w:rsid w:val="00566BE8"/>
    <w:rsid w:val="0056710E"/>
    <w:rsid w:val="00567449"/>
    <w:rsid w:val="00571545"/>
    <w:rsid w:val="005722DA"/>
    <w:rsid w:val="0057315F"/>
    <w:rsid w:val="00573544"/>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E7E3C"/>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BC9"/>
    <w:rsid w:val="00603C91"/>
    <w:rsid w:val="0060773B"/>
    <w:rsid w:val="0061146F"/>
    <w:rsid w:val="0061271A"/>
    <w:rsid w:val="00612FE4"/>
    <w:rsid w:val="00613FD6"/>
    <w:rsid w:val="00614113"/>
    <w:rsid w:val="00614FDC"/>
    <w:rsid w:val="006157B5"/>
    <w:rsid w:val="00615A74"/>
    <w:rsid w:val="00617224"/>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702F3"/>
    <w:rsid w:val="006712CA"/>
    <w:rsid w:val="00672406"/>
    <w:rsid w:val="00673471"/>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5869"/>
    <w:rsid w:val="00696422"/>
    <w:rsid w:val="00696B4F"/>
    <w:rsid w:val="00697970"/>
    <w:rsid w:val="00697A93"/>
    <w:rsid w:val="006A21CF"/>
    <w:rsid w:val="006A2330"/>
    <w:rsid w:val="006A28CD"/>
    <w:rsid w:val="006A3E18"/>
    <w:rsid w:val="006A3FDE"/>
    <w:rsid w:val="006A439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DCC"/>
    <w:rsid w:val="007479E3"/>
    <w:rsid w:val="00750159"/>
    <w:rsid w:val="00750F82"/>
    <w:rsid w:val="007514AD"/>
    <w:rsid w:val="00752221"/>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FA5"/>
    <w:rsid w:val="007A7C5A"/>
    <w:rsid w:val="007A7CB0"/>
    <w:rsid w:val="007B03E4"/>
    <w:rsid w:val="007B09AC"/>
    <w:rsid w:val="007B124B"/>
    <w:rsid w:val="007B1F75"/>
    <w:rsid w:val="007B477D"/>
    <w:rsid w:val="007B595A"/>
    <w:rsid w:val="007B639E"/>
    <w:rsid w:val="007B66CB"/>
    <w:rsid w:val="007B68A3"/>
    <w:rsid w:val="007B6FAF"/>
    <w:rsid w:val="007B7066"/>
    <w:rsid w:val="007B7E28"/>
    <w:rsid w:val="007C06FC"/>
    <w:rsid w:val="007C1ACD"/>
    <w:rsid w:val="007C236B"/>
    <w:rsid w:val="007C2541"/>
    <w:rsid w:val="007C2903"/>
    <w:rsid w:val="007C4978"/>
    <w:rsid w:val="007C6B01"/>
    <w:rsid w:val="007C6C5E"/>
    <w:rsid w:val="007D00C2"/>
    <w:rsid w:val="007D0DEE"/>
    <w:rsid w:val="007D15F9"/>
    <w:rsid w:val="007D281E"/>
    <w:rsid w:val="007D2B8E"/>
    <w:rsid w:val="007D3B3F"/>
    <w:rsid w:val="007D3E52"/>
    <w:rsid w:val="007D528E"/>
    <w:rsid w:val="007D56B4"/>
    <w:rsid w:val="007D5838"/>
    <w:rsid w:val="007D646C"/>
    <w:rsid w:val="007D66A8"/>
    <w:rsid w:val="007D6C37"/>
    <w:rsid w:val="007E003F"/>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64F2"/>
    <w:rsid w:val="00816557"/>
    <w:rsid w:val="00820EE3"/>
    <w:rsid w:val="00821395"/>
    <w:rsid w:val="008228B5"/>
    <w:rsid w:val="00823775"/>
    <w:rsid w:val="00823DA6"/>
    <w:rsid w:val="00826131"/>
    <w:rsid w:val="0082651A"/>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4E5D"/>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1542"/>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1B9"/>
    <w:rsid w:val="008C6BC3"/>
    <w:rsid w:val="008D0A94"/>
    <w:rsid w:val="008D1903"/>
    <w:rsid w:val="008D19DE"/>
    <w:rsid w:val="008D22E5"/>
    <w:rsid w:val="008D4BF3"/>
    <w:rsid w:val="008D4D92"/>
    <w:rsid w:val="008D5182"/>
    <w:rsid w:val="008D5638"/>
    <w:rsid w:val="008D749B"/>
    <w:rsid w:val="008D75E4"/>
    <w:rsid w:val="008D7C99"/>
    <w:rsid w:val="008E0FCB"/>
    <w:rsid w:val="008E1032"/>
    <w:rsid w:val="008E1320"/>
    <w:rsid w:val="008E238F"/>
    <w:rsid w:val="008E39C2"/>
    <w:rsid w:val="008E3D61"/>
    <w:rsid w:val="008E4024"/>
    <w:rsid w:val="008E4D6C"/>
    <w:rsid w:val="008E53ED"/>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3046B"/>
    <w:rsid w:val="009306C1"/>
    <w:rsid w:val="00930B51"/>
    <w:rsid w:val="00930B7D"/>
    <w:rsid w:val="00930B88"/>
    <w:rsid w:val="009318B9"/>
    <w:rsid w:val="00933852"/>
    <w:rsid w:val="00933C1C"/>
    <w:rsid w:val="00934E0D"/>
    <w:rsid w:val="00935376"/>
    <w:rsid w:val="009405AC"/>
    <w:rsid w:val="00940ABA"/>
    <w:rsid w:val="00940DCC"/>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C03"/>
    <w:rsid w:val="00957DA4"/>
    <w:rsid w:val="00957EF8"/>
    <w:rsid w:val="00960B45"/>
    <w:rsid w:val="00960DA0"/>
    <w:rsid w:val="00960EC1"/>
    <w:rsid w:val="0096131F"/>
    <w:rsid w:val="0096190A"/>
    <w:rsid w:val="00962695"/>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369"/>
    <w:rsid w:val="00976548"/>
    <w:rsid w:val="00981462"/>
    <w:rsid w:val="0098155B"/>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A09"/>
    <w:rsid w:val="00996D90"/>
    <w:rsid w:val="009A174C"/>
    <w:rsid w:val="009A287F"/>
    <w:rsid w:val="009A3A83"/>
    <w:rsid w:val="009B1CF4"/>
    <w:rsid w:val="009B287D"/>
    <w:rsid w:val="009B2F52"/>
    <w:rsid w:val="009B4A0F"/>
    <w:rsid w:val="009B4D15"/>
    <w:rsid w:val="009B508D"/>
    <w:rsid w:val="009C0718"/>
    <w:rsid w:val="009C0C39"/>
    <w:rsid w:val="009C1189"/>
    <w:rsid w:val="009C11D2"/>
    <w:rsid w:val="009C2728"/>
    <w:rsid w:val="009C35F0"/>
    <w:rsid w:val="009C46DF"/>
    <w:rsid w:val="009C4B7F"/>
    <w:rsid w:val="009C4DDC"/>
    <w:rsid w:val="009C5465"/>
    <w:rsid w:val="009C566C"/>
    <w:rsid w:val="009C5BFC"/>
    <w:rsid w:val="009C6294"/>
    <w:rsid w:val="009C69B6"/>
    <w:rsid w:val="009C6C70"/>
    <w:rsid w:val="009C6F30"/>
    <w:rsid w:val="009C7B0A"/>
    <w:rsid w:val="009D097E"/>
    <w:rsid w:val="009D0B63"/>
    <w:rsid w:val="009D1F2C"/>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78F"/>
    <w:rsid w:val="009E517F"/>
    <w:rsid w:val="009E557D"/>
    <w:rsid w:val="009E5B0C"/>
    <w:rsid w:val="009F0BBB"/>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34A5"/>
    <w:rsid w:val="00A0453C"/>
    <w:rsid w:val="00A05951"/>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E2"/>
    <w:rsid w:val="00A16365"/>
    <w:rsid w:val="00A22237"/>
    <w:rsid w:val="00A232EE"/>
    <w:rsid w:val="00A23FF6"/>
    <w:rsid w:val="00A247E2"/>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4E63"/>
    <w:rsid w:val="00A45788"/>
    <w:rsid w:val="00A45930"/>
    <w:rsid w:val="00A45D4A"/>
    <w:rsid w:val="00A469FA"/>
    <w:rsid w:val="00A46E4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13ED"/>
    <w:rsid w:val="00A81D25"/>
    <w:rsid w:val="00A83B68"/>
    <w:rsid w:val="00A84383"/>
    <w:rsid w:val="00A848E8"/>
    <w:rsid w:val="00A84E43"/>
    <w:rsid w:val="00A861E8"/>
    <w:rsid w:val="00A873FC"/>
    <w:rsid w:val="00A90987"/>
    <w:rsid w:val="00A91664"/>
    <w:rsid w:val="00A92755"/>
    <w:rsid w:val="00A94C3D"/>
    <w:rsid w:val="00A951AD"/>
    <w:rsid w:val="00A9593C"/>
    <w:rsid w:val="00A95F9E"/>
    <w:rsid w:val="00AA0024"/>
    <w:rsid w:val="00AA0925"/>
    <w:rsid w:val="00AA0B9F"/>
    <w:rsid w:val="00AA1653"/>
    <w:rsid w:val="00AA1C7B"/>
    <w:rsid w:val="00AA3EEE"/>
    <w:rsid w:val="00AA5BF4"/>
    <w:rsid w:val="00AA6DFA"/>
    <w:rsid w:val="00AB0937"/>
    <w:rsid w:val="00AB0CAE"/>
    <w:rsid w:val="00AB125F"/>
    <w:rsid w:val="00AB12C7"/>
    <w:rsid w:val="00AB20A3"/>
    <w:rsid w:val="00AB2285"/>
    <w:rsid w:val="00AB4D86"/>
    <w:rsid w:val="00AB5340"/>
    <w:rsid w:val="00AB5B30"/>
    <w:rsid w:val="00AB5F18"/>
    <w:rsid w:val="00AC0433"/>
    <w:rsid w:val="00AC0A89"/>
    <w:rsid w:val="00AC0FF1"/>
    <w:rsid w:val="00AC3678"/>
    <w:rsid w:val="00AC42F7"/>
    <w:rsid w:val="00AC7C96"/>
    <w:rsid w:val="00AD209B"/>
    <w:rsid w:val="00AD21C7"/>
    <w:rsid w:val="00AD3059"/>
    <w:rsid w:val="00AD51B6"/>
    <w:rsid w:val="00AD6069"/>
    <w:rsid w:val="00AD60CB"/>
    <w:rsid w:val="00AD6C8D"/>
    <w:rsid w:val="00AD7D00"/>
    <w:rsid w:val="00AE0812"/>
    <w:rsid w:val="00AE2127"/>
    <w:rsid w:val="00AE237D"/>
    <w:rsid w:val="00AE452B"/>
    <w:rsid w:val="00AE502A"/>
    <w:rsid w:val="00AE5AA2"/>
    <w:rsid w:val="00AE5B5A"/>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BE2"/>
    <w:rsid w:val="00B33504"/>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89E"/>
    <w:rsid w:val="00B759A6"/>
    <w:rsid w:val="00B76A3B"/>
    <w:rsid w:val="00B77855"/>
    <w:rsid w:val="00B779E1"/>
    <w:rsid w:val="00B80163"/>
    <w:rsid w:val="00B810D7"/>
    <w:rsid w:val="00B81AAF"/>
    <w:rsid w:val="00B81D67"/>
    <w:rsid w:val="00B81E3A"/>
    <w:rsid w:val="00B822F6"/>
    <w:rsid w:val="00B82920"/>
    <w:rsid w:val="00B83C52"/>
    <w:rsid w:val="00B845C6"/>
    <w:rsid w:val="00B84C60"/>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3E5"/>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83E"/>
    <w:rsid w:val="00D71FD6"/>
    <w:rsid w:val="00D72BE9"/>
    <w:rsid w:val="00D739CC"/>
    <w:rsid w:val="00D74750"/>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D51"/>
    <w:rsid w:val="00DD77EC"/>
    <w:rsid w:val="00DD7C2C"/>
    <w:rsid w:val="00DE2074"/>
    <w:rsid w:val="00DE2223"/>
    <w:rsid w:val="00DE25F4"/>
    <w:rsid w:val="00DE3C25"/>
    <w:rsid w:val="00DE4055"/>
    <w:rsid w:val="00DE4475"/>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35E3"/>
    <w:rsid w:val="00E0411C"/>
    <w:rsid w:val="00E043D6"/>
    <w:rsid w:val="00E04814"/>
    <w:rsid w:val="00E05A0E"/>
    <w:rsid w:val="00E06797"/>
    <w:rsid w:val="00E06A93"/>
    <w:rsid w:val="00E072F7"/>
    <w:rsid w:val="00E115F9"/>
    <w:rsid w:val="00E1265B"/>
    <w:rsid w:val="00E12E09"/>
    <w:rsid w:val="00E133B8"/>
    <w:rsid w:val="00E13AFE"/>
    <w:rsid w:val="00E13B48"/>
    <w:rsid w:val="00E1404F"/>
    <w:rsid w:val="00E150E2"/>
    <w:rsid w:val="00E17AF8"/>
    <w:rsid w:val="00E20711"/>
    <w:rsid w:val="00E20AF2"/>
    <w:rsid w:val="00E210D6"/>
    <w:rsid w:val="00E21C83"/>
    <w:rsid w:val="00E21CCD"/>
    <w:rsid w:val="00E2212D"/>
    <w:rsid w:val="00E24693"/>
    <w:rsid w:val="00E24ADA"/>
    <w:rsid w:val="00E26876"/>
    <w:rsid w:val="00E30768"/>
    <w:rsid w:val="00E3083F"/>
    <w:rsid w:val="00E30AB3"/>
    <w:rsid w:val="00E30EAC"/>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A43"/>
    <w:rsid w:val="00EA2BD8"/>
    <w:rsid w:val="00EA2E25"/>
    <w:rsid w:val="00EA39E5"/>
    <w:rsid w:val="00EA3E22"/>
    <w:rsid w:val="00EA5023"/>
    <w:rsid w:val="00EA57A3"/>
    <w:rsid w:val="00EA5CE4"/>
    <w:rsid w:val="00EA668D"/>
    <w:rsid w:val="00EB11D1"/>
    <w:rsid w:val="00EB23E0"/>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366A"/>
    <w:rsid w:val="00ED39AF"/>
    <w:rsid w:val="00ED499C"/>
    <w:rsid w:val="00ED666A"/>
    <w:rsid w:val="00ED6BB7"/>
    <w:rsid w:val="00EE29B8"/>
    <w:rsid w:val="00EF02D2"/>
    <w:rsid w:val="00EF0ACA"/>
    <w:rsid w:val="00EF1D21"/>
    <w:rsid w:val="00EF22B3"/>
    <w:rsid w:val="00EF2767"/>
    <w:rsid w:val="00EF291C"/>
    <w:rsid w:val="00EF2BFD"/>
    <w:rsid w:val="00EF3115"/>
    <w:rsid w:val="00EF3A4B"/>
    <w:rsid w:val="00EF432F"/>
    <w:rsid w:val="00EF4523"/>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5384"/>
    <w:rsid w:val="00F158E9"/>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94B"/>
    <w:rsid w:val="00F33DB7"/>
    <w:rsid w:val="00F3465A"/>
    <w:rsid w:val="00F35DEF"/>
    <w:rsid w:val="00F36285"/>
    <w:rsid w:val="00F36BA3"/>
    <w:rsid w:val="00F37A24"/>
    <w:rsid w:val="00F37DC8"/>
    <w:rsid w:val="00F400F3"/>
    <w:rsid w:val="00F42151"/>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461B"/>
    <w:rsid w:val="00FA4907"/>
    <w:rsid w:val="00FA4972"/>
    <w:rsid w:val="00FA6BB0"/>
    <w:rsid w:val="00FB03CC"/>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uiPriority w:val="99"/>
    <w:rsid w:val="00A06DF8"/>
    <w:pPr>
      <w:autoSpaceDE w:val="0"/>
      <w:autoSpaceDN w:val="0"/>
      <w:adjustRightInd w:val="0"/>
    </w:pPr>
    <w:rPr>
      <w:rFonts w:eastAsia="Calibri"/>
      <w:color w:val="000000"/>
      <w:sz w:val="24"/>
      <w:szCs w:val="24"/>
      <w:lang w:val="fr-CH" w:eastAsia="en-US"/>
    </w:rPr>
  </w:style>
  <w:style w:type="character" w:customStyle="1" w:styleId="hps">
    <w:name w:val="hps"/>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21"/>
      </w:numPr>
    </w:pPr>
  </w:style>
  <w:style w:type="numbering" w:customStyle="1" w:styleId="Importeradestilen15">
    <w:name w:val="Importerade stilen 15"/>
    <w:rsid w:val="00A06DF8"/>
    <w:pPr>
      <w:numPr>
        <w:numId w:val="24"/>
      </w:numPr>
    </w:pPr>
  </w:style>
  <w:style w:type="numbering" w:customStyle="1" w:styleId="Importeradestilen12">
    <w:name w:val="Importerade stilen 12"/>
    <w:rsid w:val="00A06DF8"/>
    <w:pPr>
      <w:numPr>
        <w:numId w:val="19"/>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5916-0AD7-47AD-80B5-6A826330C542}">
  <ds:schemaRefs>
    <ds:schemaRef ds:uri="http://schemas.microsoft.com/sharepoint/v3/contenttype/forms"/>
  </ds:schemaRefs>
</ds:datastoreItem>
</file>

<file path=customXml/itemProps2.xml><?xml version="1.0" encoding="utf-8"?>
<ds:datastoreItem xmlns:ds="http://schemas.openxmlformats.org/officeDocument/2006/customXml" ds:itemID="{B10A6080-9BB2-43D1-9D71-248B086CD7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0F1DD2-0274-4564-B3E0-A81F9B4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52E4A4-181B-4E6A-A50E-18F5E457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1741</Words>
  <Characters>9928</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5</cp:revision>
  <cp:lastPrinted>2020-11-09T12:14:00Z</cp:lastPrinted>
  <dcterms:created xsi:type="dcterms:W3CDTF">2020-11-06T11:43:00Z</dcterms:created>
  <dcterms:modified xsi:type="dcterms:W3CDTF">2020-11-09T12:14:00Z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