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0DB4B341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B839EF">
              <w:t>1</w:t>
            </w:r>
            <w:r w:rsidRPr="00A7082A">
              <w:t>/</w:t>
            </w:r>
            <w:r w:rsidR="00C870D0">
              <w:t>Dec.</w:t>
            </w:r>
            <w:r w:rsidR="00D6529B">
              <w:t>2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1B64F544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00821">
              <w:t>22 November 2017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308F76E1" w:rsidR="0099003C" w:rsidRPr="00A7082A" w:rsidRDefault="00B839EF" w:rsidP="00587D09">
      <w:pPr>
        <w:pStyle w:val="AATitle"/>
      </w:pPr>
      <w:r>
        <w:t>First</w:t>
      </w:r>
      <w:r w:rsidR="00076758" w:rsidRPr="00A7082A">
        <w:t xml:space="preserve"> </w:t>
      </w:r>
      <w:r w:rsidR="0099003C" w:rsidRPr="00A7082A">
        <w:t>meeting</w:t>
      </w:r>
    </w:p>
    <w:p w14:paraId="351E61BB" w14:textId="07A22EE6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</w:t>
      </w:r>
      <w:r w:rsidR="00900821">
        <w:rPr>
          <w:b w:val="0"/>
        </w:rPr>
        <w:t>4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</w:t>
      </w:r>
      <w:r w:rsidR="00900821">
        <w:rPr>
          <w:b w:val="0"/>
        </w:rPr>
        <w:t>September</w:t>
      </w:r>
      <w:r w:rsidRPr="00A7082A">
        <w:rPr>
          <w:b w:val="0"/>
        </w:rPr>
        <w:t xml:space="preserve"> 201</w:t>
      </w:r>
      <w:r w:rsidR="00900821">
        <w:rPr>
          <w:b w:val="0"/>
        </w:rPr>
        <w:t>7</w:t>
      </w:r>
    </w:p>
    <w:p w14:paraId="699814FA" w14:textId="6F36BC96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</w:t>
      </w:r>
      <w:r w:rsidR="00B839EF">
        <w:t>first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348D38E2" w14:textId="77777777" w:rsidR="00AB2495" w:rsidRPr="003E6972" w:rsidRDefault="00CB2628" w:rsidP="00AB2495">
      <w:pPr>
        <w:pStyle w:val="CH2"/>
        <w:rPr>
          <w:i/>
          <w:iCs/>
        </w:rPr>
      </w:pPr>
      <w:r w:rsidRPr="00A7082A">
        <w:rPr>
          <w:bCs/>
        </w:rPr>
        <w:tab/>
      </w:r>
      <w:r w:rsidRPr="00A7082A">
        <w:rPr>
          <w:bCs/>
        </w:rPr>
        <w:tab/>
      </w:r>
      <w:r w:rsidR="00AB2495" w:rsidRPr="003E6972">
        <w:t xml:space="preserve">MC-1/2: Guidance in relation to mercury supply sources and trade </w:t>
      </w:r>
    </w:p>
    <w:p w14:paraId="28CC0B72" w14:textId="77777777" w:rsidR="00AB2495" w:rsidRPr="003E6972" w:rsidRDefault="00AB2495" w:rsidP="00AB249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3E6972">
        <w:rPr>
          <w:i/>
        </w:rPr>
        <w:t>The Conference of the Parties,</w:t>
      </w:r>
    </w:p>
    <w:p w14:paraId="36DFE9FC" w14:textId="77777777" w:rsidR="00AB2495" w:rsidRPr="003E6972" w:rsidRDefault="00AB2495" w:rsidP="00AB249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iCs/>
        </w:rPr>
      </w:pPr>
      <w:r w:rsidRPr="003E6972">
        <w:rPr>
          <w:i/>
        </w:rPr>
        <w:t>Recognizing</w:t>
      </w:r>
      <w:r w:rsidRPr="003E6972">
        <w:rPr>
          <w:iCs/>
        </w:rPr>
        <w:t xml:space="preserve"> the importance of the informed consent procedures set out in article 3 of the Minamata Convention on Mercury,</w:t>
      </w:r>
    </w:p>
    <w:p w14:paraId="47202CA8" w14:textId="77777777" w:rsidR="00AB2495" w:rsidRPr="003E6972" w:rsidRDefault="00AB2495" w:rsidP="00AB249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3E6972">
        <w:rPr>
          <w:i/>
        </w:rPr>
        <w:t>Recognizing also</w:t>
      </w:r>
      <w:r w:rsidRPr="003E6972">
        <w:t xml:space="preserve"> </w:t>
      </w:r>
      <w:r w:rsidRPr="003E6972">
        <w:rPr>
          <w:iCs/>
        </w:rPr>
        <w:t>the importance of information on stocks of mercury and mercury compounds and sources of supply of mercury,</w:t>
      </w:r>
    </w:p>
    <w:p w14:paraId="385E0724" w14:textId="77777777" w:rsidR="00AB2495" w:rsidRPr="003E6972" w:rsidRDefault="00AB2495" w:rsidP="00AB249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3E6972">
        <w:rPr>
          <w:i/>
        </w:rPr>
        <w:t>Decides</w:t>
      </w:r>
      <w:r w:rsidRPr="003E6972">
        <w:t xml:space="preserve"> to adopt the guidance in regard to article 3, particularly in regard to paragraphs 5 (a), 6 and 8</w:t>
      </w:r>
      <w:r w:rsidRPr="003E6972">
        <w:rPr>
          <w:b/>
        </w:rPr>
        <w:t xml:space="preserve"> </w:t>
      </w:r>
      <w:r w:rsidRPr="003E6972">
        <w:t>on stocks of mercury and mercury compounds, sources of supply of mercury, and the export of mercury from parties and non-parties, as put forward by the intergovernmental negotiating committee.</w:t>
      </w:r>
      <w:r w:rsidRPr="003E6972">
        <w:rPr>
          <w:rStyle w:val="FootnoteReference"/>
        </w:rPr>
        <w:footnoteReference w:id="2"/>
      </w:r>
      <w:r w:rsidRPr="003E6972">
        <w:t xml:space="preserve"> </w:t>
      </w:r>
    </w:p>
    <w:p w14:paraId="74A2DEE9" w14:textId="0A44CF51" w:rsidR="003F4DA7" w:rsidRPr="00711DBB" w:rsidRDefault="003F4DA7" w:rsidP="00AB2495">
      <w:pPr>
        <w:pStyle w:val="CH2"/>
      </w:pPr>
      <w:bookmarkStart w:id="0" w:name="_GoBack"/>
      <w:bookmarkEnd w:id="0"/>
    </w:p>
    <w:sectPr w:rsidR="003F4DA7" w:rsidRPr="00711DBB" w:rsidSect="007D789B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F677" w14:textId="77777777" w:rsidR="00B12EC5" w:rsidRDefault="00B12EC5">
      <w:r>
        <w:separator/>
      </w:r>
    </w:p>
  </w:endnote>
  <w:endnote w:type="continuationSeparator" w:id="0">
    <w:p w14:paraId="2C9A6CEB" w14:textId="77777777" w:rsidR="00B12EC5" w:rsidRDefault="00B12EC5">
      <w:r>
        <w:continuationSeparator/>
      </w:r>
    </w:p>
  </w:endnote>
  <w:endnote w:type="continuationNotice" w:id="1">
    <w:p w14:paraId="35E70680" w14:textId="77777777" w:rsidR="00B12EC5" w:rsidRDefault="00B12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753E" w14:textId="77777777" w:rsidR="00B12EC5" w:rsidRPr="008D1ED6" w:rsidRDefault="00B12EC5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51916E0" w14:textId="77777777" w:rsidR="00B12EC5" w:rsidRDefault="00B12EC5">
      <w:r>
        <w:continuationSeparator/>
      </w:r>
    </w:p>
  </w:footnote>
  <w:footnote w:type="continuationNotice" w:id="1">
    <w:p w14:paraId="57F36327" w14:textId="77777777" w:rsidR="00B12EC5" w:rsidRDefault="00B12EC5"/>
  </w:footnote>
  <w:footnote w:id="2">
    <w:p w14:paraId="0CD204BC" w14:textId="77777777" w:rsidR="00AB2495" w:rsidRPr="00007BBB" w:rsidRDefault="00AB2495" w:rsidP="00AB249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GB"/>
        </w:rPr>
      </w:pPr>
      <w:r>
        <w:rPr>
          <w:rStyle w:val="FootnoteReference"/>
        </w:rPr>
        <w:footnoteRef/>
      </w:r>
      <w:r w:rsidRPr="00007BBB">
        <w:rPr>
          <w:lang w:val="en-GB"/>
        </w:rPr>
        <w:t xml:space="preserve"> </w:t>
      </w:r>
      <w:r w:rsidRPr="00791C13">
        <w:rPr>
          <w:lang w:val="en-GB"/>
        </w:rPr>
        <w:t>UNEP/MC/COP.1/5</w:t>
      </w:r>
      <w:r>
        <w:rPr>
          <w:lang w:val="en-GB"/>
        </w:rPr>
        <w:t>, annexes II‒IV.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1DFBBAE0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6B4F0C">
      <w:rPr>
        <w:szCs w:val="18"/>
      </w:rPr>
      <w:t>Dec.</w:t>
    </w:r>
    <w:r w:rsidR="00D6529B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032AADF0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</w:t>
    </w:r>
    <w:r w:rsidR="00D6529B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7291FDD1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</w:t>
    </w:r>
    <w:r w:rsidR="00D6529B">
      <w:rPr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3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4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1"/>
  </w:num>
  <w:num w:numId="9">
    <w:abstractNumId w:val="17"/>
  </w:num>
  <w:num w:numId="10">
    <w:abstractNumId w:val="35"/>
  </w:num>
  <w:num w:numId="11">
    <w:abstractNumId w:val="3"/>
  </w:num>
  <w:num w:numId="12">
    <w:abstractNumId w:val="63"/>
  </w:num>
  <w:num w:numId="13">
    <w:abstractNumId w:val="43"/>
  </w:num>
  <w:num w:numId="14">
    <w:abstractNumId w:val="28"/>
  </w:num>
  <w:num w:numId="15">
    <w:abstractNumId w:val="8"/>
  </w:num>
  <w:num w:numId="16">
    <w:abstractNumId w:val="59"/>
  </w:num>
  <w:num w:numId="1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7"/>
  </w:num>
  <w:num w:numId="19">
    <w:abstractNumId w:val="18"/>
  </w:num>
  <w:num w:numId="20">
    <w:abstractNumId w:val="49"/>
  </w:num>
  <w:num w:numId="21">
    <w:abstractNumId w:val="15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0"/>
  </w:num>
  <w:num w:numId="28">
    <w:abstractNumId w:val="56"/>
  </w:num>
  <w:num w:numId="29">
    <w:abstractNumId w:val="29"/>
  </w:num>
  <w:num w:numId="30">
    <w:abstractNumId w:val="51"/>
  </w:num>
  <w:num w:numId="31">
    <w:abstractNumId w:val="45"/>
  </w:num>
  <w:num w:numId="32">
    <w:abstractNumId w:val="64"/>
  </w:num>
  <w:num w:numId="33">
    <w:abstractNumId w:val="32"/>
  </w:num>
  <w:num w:numId="34">
    <w:abstractNumId w:val="24"/>
  </w:num>
  <w:num w:numId="35">
    <w:abstractNumId w:val="9"/>
  </w:num>
  <w:num w:numId="36">
    <w:abstractNumId w:val="44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5"/>
  </w:num>
  <w:num w:numId="44">
    <w:abstractNumId w:val="26"/>
  </w:num>
  <w:num w:numId="45">
    <w:abstractNumId w:val="54"/>
  </w:num>
  <w:num w:numId="46">
    <w:abstractNumId w:val="36"/>
  </w:num>
  <w:num w:numId="47">
    <w:abstractNumId w:val="21"/>
  </w:num>
  <w:num w:numId="48">
    <w:abstractNumId w:val="0"/>
  </w:num>
  <w:num w:numId="49">
    <w:abstractNumId w:val="38"/>
  </w:num>
  <w:num w:numId="50">
    <w:abstractNumId w:val="40"/>
  </w:num>
  <w:num w:numId="51">
    <w:abstractNumId w:val="39"/>
  </w:num>
  <w:num w:numId="52">
    <w:abstractNumId w:val="46"/>
  </w:num>
  <w:num w:numId="53">
    <w:abstractNumId w:val="48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5"/>
  </w:num>
  <w:num w:numId="60">
    <w:abstractNumId w:val="34"/>
  </w:num>
  <w:num w:numId="61">
    <w:abstractNumId w:val="16"/>
  </w:num>
  <w:num w:numId="62">
    <w:abstractNumId w:val="22"/>
  </w:num>
  <w:num w:numId="63">
    <w:abstractNumId w:val="33"/>
  </w:num>
  <w:num w:numId="64">
    <w:abstractNumId w:val="4"/>
  </w:num>
  <w:num w:numId="6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3"/>
  </w:num>
  <w:num w:numId="94">
    <w:abstractNumId w:val="61"/>
  </w:num>
  <w:num w:numId="9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7"/>
  </w:num>
  <w:num w:numId="100">
    <w:abstractNumId w:val="2"/>
  </w:num>
  <w:num w:numId="101">
    <w:abstractNumId w:val="5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2E21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12FF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322E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0821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2495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2EC5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39EF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529B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paragraph" w:customStyle="1" w:styleId="Articleheading">
    <w:name w:val="Article heading"/>
    <w:basedOn w:val="Normal"/>
    <w:next w:val="Subtitle"/>
    <w:rsid w:val="0041322E"/>
    <w:pPr>
      <w:numPr>
        <w:numId w:val="101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4132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132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9EF2D-CC47-481F-BB9E-EB509CB4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989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18</cp:revision>
  <cp:lastPrinted>2020-05-15T11:26:00Z</cp:lastPrinted>
  <dcterms:created xsi:type="dcterms:W3CDTF">2020-10-15T16:27:00Z</dcterms:created>
  <dcterms:modified xsi:type="dcterms:W3CDTF">2020-10-29T10:30:00Z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