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38D6065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B4784D">
              <w:rPr>
                <w:lang w:val="en-GB"/>
              </w:rPr>
              <w:t>2</w:t>
            </w:r>
          </w:p>
        </w:tc>
      </w:tr>
      <w:tr w:rsidR="00032E4E" w:rsidRPr="00BB3A3A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09C5BB01" w14:textId="77777777" w:rsidR="00913ED1" w:rsidRDefault="00913ED1" w:rsidP="00913ED1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7F611EB7" w14:textId="77777777" w:rsidR="00BB3A3A" w:rsidRDefault="00BB3A3A" w:rsidP="00BB3A3A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8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62AF81C3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B4784D">
        <w:rPr>
          <w:b/>
          <w:sz w:val="24"/>
        </w:rPr>
        <w:t>MК-1/12: Формы для использования при регистрации исключений в отношении сроков поэтапного вывода из обращения, указанных в приложении А и приложении В, и для реестра исключений</w:t>
      </w:r>
      <w:bookmarkEnd w:id="2"/>
    </w:p>
    <w:p w14:paraId="02120C9B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B4784D">
        <w:rPr>
          <w:i/>
        </w:rPr>
        <w:t>Конференция Сторон:</w:t>
      </w:r>
    </w:p>
    <w:p w14:paraId="097A45F7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4784D">
        <w:t>1.</w:t>
      </w:r>
      <w:r w:rsidRPr="00B4784D">
        <w:tab/>
      </w:r>
      <w:r w:rsidRPr="00B4784D">
        <w:rPr>
          <w:i/>
        </w:rPr>
        <w:t>принимает</w:t>
      </w:r>
      <w:r w:rsidRPr="00B4784D">
        <w:t xml:space="preserve"> формы для регистрации исключений во исполнение пунктов 1 и 2 статьи 6, приведенные в приложении к настоящему решению;</w:t>
      </w:r>
    </w:p>
    <w:p w14:paraId="32DADC4A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4784D">
        <w:t>2.</w:t>
      </w:r>
      <w:r w:rsidRPr="00B4784D">
        <w:tab/>
      </w:r>
      <w:r w:rsidRPr="00B4784D">
        <w:rPr>
          <w:i/>
        </w:rPr>
        <w:t>принимает также</w:t>
      </w:r>
      <w:r w:rsidRPr="00B4784D">
        <w:t xml:space="preserve"> формы для реестра исключений во исполнение пунктов 3 и 4 статьи 6, приведенные в приложении к настоящему решению;</w:t>
      </w:r>
    </w:p>
    <w:p w14:paraId="1141DF43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4784D">
        <w:t>3.</w:t>
      </w:r>
      <w:r w:rsidRPr="00B4784D">
        <w:tab/>
      </w:r>
      <w:r w:rsidRPr="00B4784D">
        <w:rPr>
          <w:i/>
        </w:rPr>
        <w:t xml:space="preserve">просит </w:t>
      </w:r>
      <w:r w:rsidRPr="00B4784D">
        <w:t xml:space="preserve">секретариат предоставить в распоряжение государств и региональных организаций экономической интеграции вышеупомянутые формы для регистрации исключений; </w:t>
      </w:r>
    </w:p>
    <w:p w14:paraId="271ED682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4784D">
        <w:t>4.</w:t>
      </w:r>
      <w:r w:rsidRPr="00B4784D">
        <w:tab/>
      </w:r>
      <w:r w:rsidRPr="00B4784D">
        <w:rPr>
          <w:i/>
        </w:rPr>
        <w:t xml:space="preserve">поручает </w:t>
      </w:r>
      <w:r w:rsidRPr="00B4784D">
        <w:t>секретариату сформировать реестр исключений в соответствии с вышеупомянутыми формами, вести реестр и предоставлять его для использования в общедоступном режиме.</w:t>
      </w:r>
    </w:p>
    <w:p w14:paraId="65180E28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B4784D">
        <w:rPr>
          <w:b/>
          <w:sz w:val="24"/>
          <w:szCs w:val="24"/>
        </w:rPr>
        <w:t>Приложение к решению МК-1/12</w:t>
      </w:r>
    </w:p>
    <w:p w14:paraId="66E3FD51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B4784D">
        <w:rPr>
          <w:b/>
          <w:sz w:val="24"/>
          <w:szCs w:val="24"/>
        </w:rPr>
        <w:t xml:space="preserve">Предлагаемая форма для регистрации исключений в отношении продуктов и процессов, включенных в часть I приложений A и B к </w:t>
      </w:r>
      <w:proofErr w:type="spellStart"/>
      <w:r w:rsidRPr="00B4784D">
        <w:rPr>
          <w:b/>
          <w:sz w:val="24"/>
          <w:szCs w:val="24"/>
        </w:rPr>
        <w:t>Минаматской</w:t>
      </w:r>
      <w:proofErr w:type="spellEnd"/>
      <w:r w:rsidRPr="00B4784D">
        <w:rPr>
          <w:b/>
          <w:sz w:val="24"/>
          <w:szCs w:val="24"/>
        </w:rPr>
        <w:t xml:space="preserve"> конвенции</w:t>
      </w:r>
    </w:p>
    <w:p w14:paraId="5379FA6B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B4784D">
        <w:rPr>
          <w:b/>
          <w:sz w:val="24"/>
          <w:szCs w:val="24"/>
        </w:rPr>
        <w:t>Приложение А: продукты с добавлением ртути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8"/>
        <w:gridCol w:w="2126"/>
        <w:gridCol w:w="761"/>
        <w:gridCol w:w="1420"/>
      </w:tblGrid>
      <w:tr w:rsidR="00B4784D" w:rsidRPr="00B4784D" w14:paraId="24B02179" w14:textId="77777777" w:rsidTr="00E65C70">
        <w:trPr>
          <w:trHeight w:val="227"/>
          <w:tblHeader/>
          <w:jc w:val="right"/>
        </w:trPr>
        <w:tc>
          <w:tcPr>
            <w:tcW w:w="69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988CD97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РЕГИСТРАЦИЯ ИСКЛЮЧЕНИЯ В СООТВЕТСТВИИ СО СТАТЬЕЙ 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43D0D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4784D" w:rsidRPr="00B4784D" w14:paraId="03FC5FCB" w14:textId="77777777" w:rsidTr="00E65C70">
        <w:trPr>
          <w:trHeight w:val="227"/>
          <w:jc w:val="right"/>
        </w:trPr>
        <w:tc>
          <w:tcPr>
            <w:tcW w:w="833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00F67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B4784D">
              <w:rPr>
                <w:b/>
                <w:bCs/>
                <w:sz w:val="18"/>
                <w:szCs w:val="18"/>
              </w:rPr>
              <w:t>СТОРОНА:</w:t>
            </w:r>
          </w:p>
        </w:tc>
      </w:tr>
      <w:tr w:rsidR="00B4784D" w:rsidRPr="00B4784D" w14:paraId="3677C14D" w14:textId="77777777" w:rsidTr="00E65C70">
        <w:trPr>
          <w:trHeight w:val="227"/>
          <w:jc w:val="right"/>
        </w:trPr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F3AE7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00"/>
              <w:rPr>
                <w:sz w:val="18"/>
                <w:szCs w:val="18"/>
                <w:lang w:val="en-GB"/>
              </w:rPr>
            </w:pPr>
            <w:r w:rsidRPr="00B4784D">
              <w:rPr>
                <w:sz w:val="18"/>
                <w:szCs w:val="18"/>
              </w:rPr>
              <w:t xml:space="preserve">Секретариат </w:t>
            </w:r>
            <w:proofErr w:type="spellStart"/>
            <w:r w:rsidRPr="00B4784D">
              <w:rPr>
                <w:sz w:val="18"/>
                <w:szCs w:val="18"/>
              </w:rPr>
              <w:t>Минаматской</w:t>
            </w:r>
            <w:proofErr w:type="spellEnd"/>
            <w:r w:rsidRPr="00B4784D">
              <w:rPr>
                <w:sz w:val="18"/>
                <w:szCs w:val="18"/>
              </w:rPr>
              <w:t xml:space="preserve"> конвенции настоящим уведомляется о регистрации следующего исключения в соответствии с пунктом 1 статьи 6 Конвенции. Исключений для продуктов, исключенных из приложения А, не требуется.</w:t>
            </w:r>
          </w:p>
        </w:tc>
      </w:tr>
      <w:tr w:rsidR="00B4784D" w:rsidRPr="00B4784D" w14:paraId="45E59986" w14:textId="77777777" w:rsidTr="00E65C70">
        <w:trPr>
          <w:trHeight w:val="227"/>
          <w:jc w:val="right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3F6CCF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Продукты с добавлением ртути, включенные в часть I приложения 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DFFC4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 xml:space="preserve">Указать категорию или подкатегорию, в отношении которой регистрируется исключение, и предусматривается ли </w:t>
            </w:r>
            <w:r w:rsidRPr="00B4784D">
              <w:rPr>
                <w:b/>
                <w:sz w:val="18"/>
                <w:szCs w:val="18"/>
              </w:rPr>
              <w:lastRenderedPageBreak/>
              <w:t>производство, импорт и/или экспорт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89CF6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lastRenderedPageBreak/>
              <w:t>Срок действия исключения (если менее 5 лет после наступления срока поэтапного вывода из обращения)</w:t>
            </w:r>
          </w:p>
        </w:tc>
      </w:tr>
      <w:tr w:rsidR="00B4784D" w:rsidRPr="00B4784D" w14:paraId="6D8C93FF" w14:textId="77777777" w:rsidTr="00E65C70">
        <w:trPr>
          <w:cantSplit/>
          <w:trHeight w:val="227"/>
          <w:jc w:val="right"/>
        </w:trPr>
        <w:tc>
          <w:tcPr>
            <w:tcW w:w="402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3F88F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Аккумуляторы, кроме серебряно-цинковых таблеточных аккумуляторов с содержанием ртути </w:t>
            </w:r>
            <w:r w:rsidRPr="00B4784D">
              <w:rPr>
                <w:rFonts w:eastAsia="SimSun"/>
                <w:sz w:val="18"/>
                <w:szCs w:val="18"/>
              </w:rPr>
              <w:t>&lt;2</w:t>
            </w:r>
            <w:r w:rsidRPr="00B4784D">
              <w:rPr>
                <w:sz w:val="18"/>
                <w:szCs w:val="18"/>
              </w:rPr>
              <w:t xml:space="preserve">% и воздушно-цинковых таблеточных аккумуляторов с содержанием ртути </w:t>
            </w:r>
            <w:r w:rsidRPr="00B4784D">
              <w:rPr>
                <w:rFonts w:eastAsia="SimSun"/>
                <w:sz w:val="18"/>
                <w:szCs w:val="18"/>
              </w:rPr>
              <w:t>&lt;</w:t>
            </w:r>
            <w:r w:rsidRPr="00B4784D">
              <w:rPr>
                <w:sz w:val="18"/>
                <w:szCs w:val="18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772D8C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1B335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 </w:t>
            </w:r>
          </w:p>
        </w:tc>
      </w:tr>
      <w:tr w:rsidR="00B4784D" w:rsidRPr="00B4784D" w14:paraId="13B451B5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45169B37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Переключатели и реле, за исключением высокоточных конденсаторных мостов и мостов для измерения потерь и высокочастотных радиочастотных переключателей и реле контрольных приборов и регуляторов с максимальным содержанием ртути 20 мг на каждый мост, переключатель или реле</w:t>
            </w:r>
          </w:p>
        </w:tc>
        <w:tc>
          <w:tcPr>
            <w:tcW w:w="2126" w:type="dxa"/>
            <w:shd w:val="clear" w:color="auto" w:fill="auto"/>
            <w:hideMark/>
          </w:tcPr>
          <w:p w14:paraId="0F4D774F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29E6BB83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16DBD4BD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07AF3A5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  <w:lang w:val="en-GB"/>
              </w:rPr>
            </w:pPr>
            <w:r w:rsidRPr="00B4784D">
              <w:rPr>
                <w:sz w:val="18"/>
                <w:szCs w:val="18"/>
              </w:rPr>
              <w:t xml:space="preserve">Лампы люминесцентные малогабаритные (ЛЛМ) общего освещения мощностью </w:t>
            </w:r>
            <w:r w:rsidRPr="00B4784D">
              <w:rPr>
                <w:rFonts w:eastAsia="SimSun"/>
                <w:sz w:val="18"/>
                <w:szCs w:val="18"/>
              </w:rPr>
              <w:t xml:space="preserve">≤ </w:t>
            </w:r>
            <w:r w:rsidRPr="00B4784D">
              <w:rPr>
                <w:sz w:val="18"/>
                <w:szCs w:val="18"/>
              </w:rPr>
              <w:t>30 ватт и содержанием ртути свыше 5 мг в колбе лампы</w:t>
            </w:r>
          </w:p>
        </w:tc>
        <w:tc>
          <w:tcPr>
            <w:tcW w:w="2126" w:type="dxa"/>
            <w:shd w:val="clear" w:color="auto" w:fill="auto"/>
            <w:hideMark/>
          </w:tcPr>
          <w:p w14:paraId="685CD352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  <w:lang w:val="en-GB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4C23DCD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  <w:lang w:val="en-GB"/>
              </w:rPr>
            </w:pPr>
          </w:p>
        </w:tc>
      </w:tr>
      <w:tr w:rsidR="00B4784D" w:rsidRPr="00B4784D" w14:paraId="5A5573DB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0A7D05B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Лампы люминесцентные трубчатые (ЛМТ) общего освещения:</w:t>
            </w:r>
          </w:p>
          <w:p w14:paraId="79511A04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uppressAutoHyphens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а)</w:t>
            </w:r>
            <w:r w:rsidRPr="00B4784D">
              <w:rPr>
                <w:sz w:val="18"/>
                <w:szCs w:val="18"/>
              </w:rPr>
              <w:tab/>
              <w:t xml:space="preserve">с трехцветным люминофором мощностью </w:t>
            </w:r>
            <w:r w:rsidRPr="00B4784D">
              <w:rPr>
                <w:rFonts w:eastAsia="SimSun"/>
                <w:sz w:val="18"/>
                <w:szCs w:val="18"/>
              </w:rPr>
              <w:t>&lt; </w:t>
            </w:r>
            <w:r w:rsidRPr="00B4784D">
              <w:rPr>
                <w:sz w:val="18"/>
                <w:szCs w:val="18"/>
              </w:rPr>
              <w:t>60 ватт с содержанием ртути свыше 5 мг в лампе;</w:t>
            </w:r>
          </w:p>
          <w:p w14:paraId="375FF1C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  <w:tab w:val="left" w:pos="946"/>
              </w:tabs>
              <w:suppressAutoHyphens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  <w:lang w:val="en-US"/>
              </w:rPr>
              <w:t>b</w:t>
            </w:r>
            <w:r w:rsidRPr="00B4784D">
              <w:rPr>
                <w:sz w:val="18"/>
                <w:szCs w:val="18"/>
              </w:rPr>
              <w:t>)</w:t>
            </w:r>
            <w:r w:rsidRPr="00B4784D">
              <w:rPr>
                <w:sz w:val="18"/>
                <w:szCs w:val="18"/>
              </w:rPr>
              <w:tab/>
              <w:t xml:space="preserve">с </w:t>
            </w:r>
            <w:proofErr w:type="spellStart"/>
            <w:r w:rsidRPr="00B4784D">
              <w:rPr>
                <w:sz w:val="18"/>
                <w:szCs w:val="18"/>
              </w:rPr>
              <w:t>галофосфатным</w:t>
            </w:r>
            <w:proofErr w:type="spellEnd"/>
            <w:r w:rsidRPr="00B4784D">
              <w:rPr>
                <w:sz w:val="18"/>
                <w:szCs w:val="18"/>
              </w:rPr>
              <w:t xml:space="preserve"> люминофором мощностью </w:t>
            </w:r>
            <w:r w:rsidRPr="00B4784D">
              <w:rPr>
                <w:rFonts w:eastAsia="SimSun"/>
                <w:sz w:val="18"/>
                <w:szCs w:val="18"/>
              </w:rPr>
              <w:t>≤ </w:t>
            </w:r>
            <w:r w:rsidRPr="00B4784D">
              <w:rPr>
                <w:sz w:val="18"/>
                <w:szCs w:val="18"/>
              </w:rPr>
              <w:t>40 ватт и содержанием ртути свыше 10 мг в лампе</w:t>
            </w:r>
          </w:p>
        </w:tc>
        <w:tc>
          <w:tcPr>
            <w:tcW w:w="2126" w:type="dxa"/>
            <w:shd w:val="clear" w:color="auto" w:fill="auto"/>
            <w:hideMark/>
          </w:tcPr>
          <w:p w14:paraId="76CC4A7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1651C73F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1FB51EC4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1B4A8CB3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Лампы общего освещения ртутные высокого давления </w:t>
            </w:r>
            <w:proofErr w:type="spellStart"/>
            <w:r w:rsidRPr="00B4784D">
              <w:rPr>
                <w:sz w:val="18"/>
                <w:szCs w:val="18"/>
              </w:rPr>
              <w:t>паросветные</w:t>
            </w:r>
            <w:proofErr w:type="spellEnd"/>
            <w:r w:rsidRPr="00B4784D">
              <w:rPr>
                <w:sz w:val="18"/>
                <w:szCs w:val="18"/>
              </w:rPr>
              <w:t xml:space="preserve"> (РВДП)</w:t>
            </w:r>
          </w:p>
        </w:tc>
        <w:tc>
          <w:tcPr>
            <w:tcW w:w="2126" w:type="dxa"/>
            <w:shd w:val="clear" w:color="auto" w:fill="auto"/>
            <w:hideMark/>
          </w:tcPr>
          <w:p w14:paraId="1604775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4462DC95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433E4014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026A087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Ртуть в лампах люминесцентных с холодным катодом и лампах люминесцентных с внешним электродом (ЛЛХК и ЛЛВЭ) для электронных дисплеев:</w:t>
            </w:r>
          </w:p>
          <w:p w14:paraId="38D48199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a)</w:t>
            </w:r>
            <w:r w:rsidRPr="00B4784D">
              <w:rPr>
                <w:sz w:val="18"/>
                <w:szCs w:val="18"/>
              </w:rPr>
              <w:tab/>
              <w:t>коротких (≤ 500 мм), с содержанием ртути свыше 3,5 мг в лампе;</w:t>
            </w:r>
          </w:p>
          <w:p w14:paraId="4B7C8A6C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b)</w:t>
            </w:r>
            <w:r w:rsidRPr="00B4784D">
              <w:rPr>
                <w:sz w:val="18"/>
                <w:szCs w:val="18"/>
              </w:rPr>
              <w:tab/>
              <w:t>средних (&gt; 500 мм и ≤ 1500 мм), с содержанием ртути свыше 5 мг в лампе;</w:t>
            </w:r>
          </w:p>
          <w:p w14:paraId="03D738C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c)</w:t>
            </w:r>
            <w:r w:rsidRPr="00B4784D">
              <w:rPr>
                <w:sz w:val="18"/>
                <w:szCs w:val="18"/>
              </w:rPr>
              <w:tab/>
              <w:t>длинных (&gt; 1500 мм), с содержанием ртути свыше 13 мг в лампе</w:t>
            </w:r>
          </w:p>
        </w:tc>
        <w:tc>
          <w:tcPr>
            <w:tcW w:w="2126" w:type="dxa"/>
            <w:shd w:val="clear" w:color="auto" w:fill="auto"/>
            <w:hideMark/>
          </w:tcPr>
          <w:p w14:paraId="72AA51E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0B1517C9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4D962FE4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462D12BC" w14:textId="77777777" w:rsidR="00B4784D" w:rsidRPr="00B4784D" w:rsidRDefault="00B4784D" w:rsidP="00B4784D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Косметика (с содержанием ртути свыше 1 части на миллион), включая мыло и кремы для осветления кожи, за исключением косметики для зоны глаз, в которой ртуть применяется в качестве консерванта и для которой эффективные и безопасные консерванты</w:t>
            </w:r>
            <w:r w:rsidRPr="00B4784D">
              <w:rPr>
                <w:sz w:val="18"/>
                <w:szCs w:val="18"/>
              </w:rPr>
              <w:noBreakHyphen/>
              <w:t>заменители не существуют</w:t>
            </w:r>
            <w:r w:rsidRPr="00B4784D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hideMark/>
          </w:tcPr>
          <w:p w14:paraId="4A349D79" w14:textId="77777777" w:rsidR="00B4784D" w:rsidRPr="00B4784D" w:rsidRDefault="00B4784D" w:rsidP="00B4784D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5F8A095D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7AAE2727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15B8286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Пестициды, </w:t>
            </w:r>
            <w:proofErr w:type="spellStart"/>
            <w:r w:rsidRPr="00B4784D">
              <w:rPr>
                <w:sz w:val="18"/>
                <w:szCs w:val="18"/>
              </w:rPr>
              <w:t>биоциды</w:t>
            </w:r>
            <w:proofErr w:type="spellEnd"/>
            <w:r w:rsidRPr="00B4784D">
              <w:rPr>
                <w:sz w:val="18"/>
                <w:szCs w:val="18"/>
              </w:rPr>
              <w:t xml:space="preserve"> и локальные антисептики</w:t>
            </w:r>
          </w:p>
        </w:tc>
        <w:tc>
          <w:tcPr>
            <w:tcW w:w="2126" w:type="dxa"/>
            <w:shd w:val="clear" w:color="auto" w:fill="auto"/>
            <w:hideMark/>
          </w:tcPr>
          <w:p w14:paraId="54F1CFF4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5BC39EC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4CEAE63C" w14:textId="77777777" w:rsidTr="00E65C70">
        <w:trPr>
          <w:trHeight w:val="227"/>
          <w:jc w:val="right"/>
        </w:trPr>
        <w:tc>
          <w:tcPr>
            <w:tcW w:w="4028" w:type="dxa"/>
            <w:shd w:val="clear" w:color="auto" w:fill="auto"/>
            <w:hideMark/>
          </w:tcPr>
          <w:p w14:paraId="0621099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40" w:after="40"/>
              <w:rPr>
                <w:rFonts w:eastAsia="SimSun"/>
                <w:strike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Перечисленные ниже неэлектронные измерительные устройства, кроме неэлектронных измерительных устройств, установленных на крупногабаритном оборудовании или используемых для высокоточного измерения, если отсутствуют приемлемые </w:t>
            </w:r>
            <w:proofErr w:type="spellStart"/>
            <w:r w:rsidRPr="00B4784D">
              <w:rPr>
                <w:sz w:val="18"/>
                <w:szCs w:val="18"/>
              </w:rPr>
              <w:t>безртутные</w:t>
            </w:r>
            <w:proofErr w:type="spellEnd"/>
            <w:r w:rsidRPr="00B4784D">
              <w:rPr>
                <w:sz w:val="18"/>
                <w:szCs w:val="18"/>
              </w:rPr>
              <w:t xml:space="preserve"> альтернативы: </w:t>
            </w:r>
          </w:p>
          <w:p w14:paraId="3C79BA9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a)</w:t>
            </w:r>
            <w:r w:rsidRPr="00B4784D">
              <w:rPr>
                <w:sz w:val="18"/>
                <w:szCs w:val="18"/>
              </w:rPr>
              <w:tab/>
              <w:t>барометры;</w:t>
            </w:r>
          </w:p>
          <w:p w14:paraId="24F86A22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b)</w:t>
            </w:r>
            <w:r w:rsidRPr="00B4784D">
              <w:rPr>
                <w:sz w:val="18"/>
                <w:szCs w:val="18"/>
              </w:rPr>
              <w:tab/>
              <w:t>гигрометры;</w:t>
            </w:r>
          </w:p>
          <w:p w14:paraId="690C591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c)</w:t>
            </w:r>
            <w:r w:rsidRPr="00B4784D">
              <w:rPr>
                <w:sz w:val="18"/>
                <w:szCs w:val="18"/>
              </w:rPr>
              <w:tab/>
              <w:t>манометры;</w:t>
            </w:r>
          </w:p>
          <w:p w14:paraId="19C1BC4B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lastRenderedPageBreak/>
              <w:t>d)</w:t>
            </w:r>
            <w:r w:rsidRPr="00B4784D">
              <w:rPr>
                <w:sz w:val="18"/>
                <w:szCs w:val="18"/>
              </w:rPr>
              <w:tab/>
              <w:t>термометры;</w:t>
            </w:r>
          </w:p>
          <w:p w14:paraId="386137ED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284"/>
              </w:tabs>
              <w:spacing w:after="120"/>
              <w:rPr>
                <w:rFonts w:eastAsia="SimSun"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e)</w:t>
            </w:r>
            <w:r w:rsidRPr="00B4784D">
              <w:rPr>
                <w:sz w:val="18"/>
                <w:szCs w:val="18"/>
              </w:rPr>
              <w:tab/>
              <w:t>сфигмоманометры.</w:t>
            </w:r>
          </w:p>
        </w:tc>
        <w:tc>
          <w:tcPr>
            <w:tcW w:w="2126" w:type="dxa"/>
            <w:shd w:val="clear" w:color="auto" w:fill="auto"/>
            <w:hideMark/>
          </w:tcPr>
          <w:p w14:paraId="04AB5F29" w14:textId="77777777" w:rsidR="00B4784D" w:rsidRPr="00B4784D" w:rsidRDefault="00B4784D" w:rsidP="00B4784D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3D6E5620" w14:textId="77777777" w:rsidR="00B4784D" w:rsidRPr="00B4784D" w:rsidRDefault="00B4784D" w:rsidP="00B4784D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sz w:val="18"/>
                <w:szCs w:val="18"/>
              </w:rPr>
            </w:pPr>
          </w:p>
        </w:tc>
      </w:tr>
      <w:tr w:rsidR="00B4784D" w:rsidRPr="00B4784D" w14:paraId="5A8599B6" w14:textId="77777777" w:rsidTr="00E65C70">
        <w:trPr>
          <w:trHeight w:val="227"/>
          <w:jc w:val="right"/>
        </w:trPr>
        <w:tc>
          <w:tcPr>
            <w:tcW w:w="8335" w:type="dxa"/>
            <w:gridSpan w:val="4"/>
            <w:shd w:val="clear" w:color="auto" w:fill="auto"/>
            <w:hideMark/>
          </w:tcPr>
          <w:p w14:paraId="6A8F791D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Просьба приложить пояснительное заявление о необходимости исключения: по одному заявлению на каждую отдельную категорию продуктов, указанных в части I приложения А.</w:t>
            </w:r>
          </w:p>
          <w:p w14:paraId="1D264E44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В рамках пояснения о необходимости исключения или в дополнение к нему регистрирующая Сторона может при необходимости указать следующие сведения:</w:t>
            </w:r>
          </w:p>
          <w:p w14:paraId="61953C6D" w14:textId="77777777" w:rsidR="00B4784D" w:rsidRPr="00B4784D" w:rsidRDefault="00B4784D" w:rsidP="00B4784D">
            <w:pPr>
              <w:numPr>
                <w:ilvl w:val="0"/>
                <w:numId w:val="30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568" w:hanging="284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любой график или план действий по поэтапному прекращению импорта, экспорта или производства или корректировке характеристик производства в целях соблюдения уровней концентрации ртути в продуктах, указанных в приложении A;</w:t>
            </w:r>
          </w:p>
          <w:p w14:paraId="353C0481" w14:textId="77777777" w:rsidR="00B4784D" w:rsidRPr="00B4784D" w:rsidRDefault="00B4784D" w:rsidP="00B4784D">
            <w:pPr>
              <w:numPr>
                <w:ilvl w:val="0"/>
                <w:numId w:val="30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spacing w:after="120"/>
              <w:ind w:left="568" w:hanging="284"/>
              <w:jc w:val="both"/>
              <w:rPr>
                <w:i/>
                <w:iCs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информацию об уровне имеющихся запасов продукта на национальном уровне.</w:t>
            </w:r>
          </w:p>
        </w:tc>
      </w:tr>
      <w:tr w:rsidR="00B4784D" w:rsidRPr="00B4784D" w14:paraId="5CDC235E" w14:textId="77777777" w:rsidTr="00E65C70">
        <w:trPr>
          <w:trHeight w:val="227"/>
          <w:jc w:val="right"/>
        </w:trPr>
        <w:tc>
          <w:tcPr>
            <w:tcW w:w="8335" w:type="dxa"/>
            <w:gridSpan w:val="4"/>
            <w:shd w:val="clear" w:color="auto" w:fill="auto"/>
          </w:tcPr>
          <w:tbl>
            <w:tblPr>
              <w:tblW w:w="10346" w:type="dxa"/>
              <w:tblLayout w:type="fixed"/>
              <w:tblLook w:val="01E0" w:firstRow="1" w:lastRow="1" w:firstColumn="1" w:lastColumn="1" w:noHBand="0" w:noVBand="0"/>
            </w:tblPr>
            <w:tblGrid>
              <w:gridCol w:w="3715"/>
              <w:gridCol w:w="1841"/>
              <w:gridCol w:w="567"/>
              <w:gridCol w:w="1985"/>
              <w:gridCol w:w="820"/>
              <w:gridCol w:w="1418"/>
            </w:tblGrid>
            <w:tr w:rsidR="00B4784D" w:rsidRPr="00B4784D" w14:paraId="007C70CA" w14:textId="77777777" w:rsidTr="00E65C70">
              <w:trPr>
                <w:trHeight w:val="427"/>
              </w:trPr>
              <w:tc>
                <w:tcPr>
                  <w:tcW w:w="8108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266B495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120" w:after="120"/>
                    <w:rPr>
                      <w:sz w:val="18"/>
                      <w:szCs w:val="18"/>
                      <w:lang w:val="en-GB"/>
                    </w:rPr>
                  </w:pPr>
                  <w:r w:rsidRPr="00B4784D">
                    <w:rPr>
                      <w:b/>
                      <w:sz w:val="18"/>
                      <w:szCs w:val="18"/>
                    </w:rPr>
                    <w:t>НАСТОЯЩЕЕ УВЕДОМЛЕНИЕ ПРЕДСТАВЛЕНО: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92A8D52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after="120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4784D" w:rsidRPr="00B4784D" w14:paraId="047ACF9E" w14:textId="77777777" w:rsidTr="00E65C70">
              <w:tc>
                <w:tcPr>
                  <w:tcW w:w="3715" w:type="dxa"/>
                  <w:tcBorders>
                    <w:top w:val="single" w:sz="12" w:space="0" w:color="auto"/>
                  </w:tcBorders>
                  <w:shd w:val="clear" w:color="auto" w:fill="auto"/>
                  <w:hideMark/>
                </w:tcPr>
                <w:p w14:paraId="40FF9B5F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Наименование должности:</w:t>
                  </w:r>
                </w:p>
              </w:tc>
              <w:tc>
                <w:tcPr>
                  <w:tcW w:w="4393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8F868E0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CDC24C0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4784D" w:rsidRPr="00B4784D" w14:paraId="3C2031ED" w14:textId="77777777" w:rsidTr="00E65C70">
              <w:tc>
                <w:tcPr>
                  <w:tcW w:w="3715" w:type="dxa"/>
                  <w:shd w:val="clear" w:color="auto" w:fill="auto"/>
                  <w:hideMark/>
                </w:tcPr>
                <w:p w14:paraId="767B8928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Учреждение/ведомство:</w:t>
                  </w:r>
                </w:p>
              </w:tc>
              <w:tc>
                <w:tcPr>
                  <w:tcW w:w="4393" w:type="dxa"/>
                  <w:gridSpan w:val="3"/>
                  <w:shd w:val="clear" w:color="auto" w:fill="auto"/>
                </w:tcPr>
                <w:p w14:paraId="7C49BC89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shd w:val="clear" w:color="auto" w:fill="auto"/>
                </w:tcPr>
                <w:p w14:paraId="33D2E176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4784D" w:rsidRPr="00B4784D" w14:paraId="65FAF10D" w14:textId="77777777" w:rsidTr="00E65C70">
              <w:trPr>
                <w:trHeight w:val="70"/>
              </w:trPr>
              <w:tc>
                <w:tcPr>
                  <w:tcW w:w="3715" w:type="dxa"/>
                  <w:shd w:val="clear" w:color="auto" w:fill="auto"/>
                  <w:hideMark/>
                </w:tcPr>
                <w:p w14:paraId="3A282492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4393" w:type="dxa"/>
                  <w:gridSpan w:val="3"/>
                  <w:shd w:val="clear" w:color="auto" w:fill="auto"/>
                </w:tcPr>
                <w:p w14:paraId="310FB5DA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shd w:val="clear" w:color="auto" w:fill="auto"/>
                </w:tcPr>
                <w:p w14:paraId="42C04A9B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4784D" w:rsidRPr="00B4784D" w14:paraId="4C1FF88C" w14:textId="77777777" w:rsidTr="00E65C70">
              <w:tc>
                <w:tcPr>
                  <w:tcW w:w="3715" w:type="dxa"/>
                  <w:shd w:val="clear" w:color="auto" w:fill="auto"/>
                  <w:hideMark/>
                </w:tcPr>
                <w:p w14:paraId="66FE6A45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1841" w:type="dxa"/>
                  <w:shd w:val="clear" w:color="auto" w:fill="auto"/>
                  <w:hideMark/>
                </w:tcPr>
                <w:p w14:paraId="493FBE25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  <w:hideMark/>
                </w:tcPr>
                <w:p w14:paraId="2D6E6C8E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Адрес эл. почты:</w:t>
                  </w:r>
                </w:p>
              </w:tc>
              <w:tc>
                <w:tcPr>
                  <w:tcW w:w="2238" w:type="dxa"/>
                  <w:gridSpan w:val="2"/>
                  <w:shd w:val="clear" w:color="auto" w:fill="auto"/>
                </w:tcPr>
                <w:p w14:paraId="004758A2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4784D" w:rsidRPr="00B4784D" w14:paraId="4A18A126" w14:textId="77777777" w:rsidTr="00E65C70">
              <w:trPr>
                <w:trHeight w:val="231"/>
              </w:trPr>
              <w:tc>
                <w:tcPr>
                  <w:tcW w:w="3715" w:type="dxa"/>
                  <w:shd w:val="clear" w:color="auto" w:fill="auto"/>
                  <w:hideMark/>
                </w:tcPr>
                <w:p w14:paraId="018EE776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Контактное лицо: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14:paraId="62523823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auto"/>
                  <w:hideMark/>
                </w:tcPr>
                <w:p w14:paraId="07407F3F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 xml:space="preserve">Дата: </w:t>
                  </w:r>
                  <w:r w:rsidRPr="00B4784D">
                    <w:rPr>
                      <w:i/>
                      <w:sz w:val="18"/>
                      <w:szCs w:val="18"/>
                    </w:rPr>
                    <w:t>(день/месяц/год)</w:t>
                  </w:r>
                </w:p>
              </w:tc>
              <w:tc>
                <w:tcPr>
                  <w:tcW w:w="2238" w:type="dxa"/>
                  <w:gridSpan w:val="2"/>
                  <w:shd w:val="clear" w:color="auto" w:fill="auto"/>
                </w:tcPr>
                <w:p w14:paraId="505E3B60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4784D" w:rsidRPr="00B4784D" w14:paraId="2DBA27FA" w14:textId="77777777" w:rsidTr="00E65C70">
              <w:trPr>
                <w:trHeight w:val="231"/>
              </w:trPr>
              <w:tc>
                <w:tcPr>
                  <w:tcW w:w="10346" w:type="dxa"/>
                  <w:gridSpan w:val="6"/>
                  <w:shd w:val="clear" w:color="auto" w:fill="auto"/>
                </w:tcPr>
                <w:p w14:paraId="2DEB0F64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4784D" w:rsidRPr="00B4784D" w14:paraId="615C779D" w14:textId="77777777" w:rsidTr="00E65C70">
              <w:trPr>
                <w:trHeight w:val="454"/>
              </w:trPr>
              <w:tc>
                <w:tcPr>
                  <w:tcW w:w="89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C6195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  <w:r w:rsidRPr="00B4784D">
                    <w:rPr>
                      <w:b/>
                      <w:sz w:val="18"/>
                      <w:szCs w:val="18"/>
                    </w:rPr>
                    <w:t>ПРОСЬБА ВЕРНУТЬ ЗАПОЛНЕННУЮ ФОРМУ ПО АДРЕСУ: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88112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784D" w:rsidRPr="00B4784D" w14:paraId="4A2C18C1" w14:textId="77777777" w:rsidTr="00E65C70">
              <w:trPr>
                <w:trHeight w:val="240"/>
              </w:trPr>
              <w:tc>
                <w:tcPr>
                  <w:tcW w:w="612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365A757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  <w:lang w:val="en-US"/>
                    </w:rPr>
                  </w:pPr>
                  <w:r w:rsidRPr="00B4784D">
                    <w:rPr>
                      <w:sz w:val="18"/>
                      <w:szCs w:val="18"/>
                      <w:lang w:val="en-US"/>
                    </w:rPr>
                    <w:t>Secretariat of the Minamata Convention on Mercury</w:t>
                  </w:r>
                </w:p>
                <w:p w14:paraId="5DD17E42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B4784D">
                    <w:rPr>
                      <w:sz w:val="18"/>
                      <w:szCs w:val="18"/>
                      <w:lang w:val="fr-CH"/>
                    </w:rPr>
                    <w:t xml:space="preserve">United Nations </w:t>
                  </w:r>
                  <w:proofErr w:type="spellStart"/>
                  <w:r w:rsidRPr="00B4784D">
                    <w:rPr>
                      <w:sz w:val="18"/>
                      <w:szCs w:val="18"/>
                      <w:lang w:val="fr-CH"/>
                    </w:rPr>
                    <w:t>Environment</w:t>
                  </w:r>
                  <w:proofErr w:type="spellEnd"/>
                  <w:r w:rsidRPr="00B4784D">
                    <w:rPr>
                      <w:sz w:val="18"/>
                      <w:szCs w:val="18"/>
                      <w:lang w:val="fr-CH"/>
                    </w:rPr>
                    <w:t xml:space="preserve"> Programme (UNEP)</w:t>
                  </w:r>
                </w:p>
                <w:p w14:paraId="48E59905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B4784D">
                    <w:rPr>
                      <w:sz w:val="18"/>
                      <w:szCs w:val="18"/>
                      <w:lang w:val="fr-CH"/>
                    </w:rPr>
                    <w:t xml:space="preserve">International </w:t>
                  </w:r>
                  <w:proofErr w:type="spellStart"/>
                  <w:r w:rsidRPr="00B4784D">
                    <w:rPr>
                      <w:sz w:val="18"/>
                      <w:szCs w:val="18"/>
                      <w:lang w:val="fr-CH"/>
                    </w:rPr>
                    <w:t>Environment</w:t>
                  </w:r>
                  <w:proofErr w:type="spellEnd"/>
                  <w:r w:rsidRPr="00B4784D">
                    <w:rPr>
                      <w:sz w:val="18"/>
                      <w:szCs w:val="18"/>
                      <w:lang w:val="fr-CH"/>
                    </w:rPr>
                    <w:t xml:space="preserve"> House</w:t>
                  </w:r>
                </w:p>
                <w:p w14:paraId="2B2C3600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B4784D">
                    <w:rPr>
                      <w:sz w:val="18"/>
                      <w:szCs w:val="18"/>
                      <w:lang w:val="fr-CH"/>
                    </w:rPr>
                    <w:t xml:space="preserve">11–13, Chemin des Anémones, CH–1219 Châtelaine, Geneva, </w:t>
                  </w:r>
                  <w:proofErr w:type="spellStart"/>
                  <w:r w:rsidRPr="00B4784D">
                    <w:rPr>
                      <w:sz w:val="18"/>
                      <w:szCs w:val="18"/>
                      <w:lang w:val="fr-CH"/>
                    </w:rPr>
                    <w:t>Switzerland</w:t>
                  </w:r>
                  <w:proofErr w:type="spellEnd"/>
                </w:p>
              </w:tc>
              <w:tc>
                <w:tcPr>
                  <w:tcW w:w="422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A206807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before="40" w:after="4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>Факс: +41 22 797 3460</w:t>
                  </w:r>
                </w:p>
                <w:p w14:paraId="2843C011" w14:textId="77777777" w:rsidR="00B4784D" w:rsidRPr="00B4784D" w:rsidRDefault="00B4784D" w:rsidP="00B4784D">
                  <w:pPr>
                    <w:tabs>
                      <w:tab w:val="clear" w:pos="1247"/>
                      <w:tab w:val="clear" w:pos="1814"/>
                      <w:tab w:val="clear" w:pos="2381"/>
                      <w:tab w:val="clear" w:pos="2948"/>
                      <w:tab w:val="clear" w:pos="3515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B4784D">
                    <w:rPr>
                      <w:sz w:val="18"/>
                      <w:szCs w:val="18"/>
                    </w:rPr>
                    <w:t xml:space="preserve">Адрес эл. почты: </w:t>
                  </w:r>
                  <w:proofErr w:type="spellStart"/>
                  <w:r w:rsidRPr="00B4784D">
                    <w:rPr>
                      <w:sz w:val="18"/>
                      <w:szCs w:val="18"/>
                    </w:rPr>
                    <w:t>mercury</w:t>
                  </w:r>
                  <w:proofErr w:type="spellEnd"/>
                  <w:r w:rsidRPr="00B4784D">
                    <w:rPr>
                      <w:sz w:val="18"/>
                      <w:szCs w:val="18"/>
                    </w:rPr>
                    <w:t>.</w:t>
                  </w:r>
                  <w:r w:rsidRPr="00B4784D">
                    <w:rPr>
                      <w:sz w:val="18"/>
                      <w:szCs w:val="18"/>
                    </w:rPr>
                    <w:br/>
                    <w:t>chemicals@unep.org</w:t>
                  </w:r>
                </w:p>
              </w:tc>
            </w:tr>
          </w:tbl>
          <w:p w14:paraId="18BE7005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01"/>
                <w:tab w:val="left" w:pos="3011"/>
              </w:tabs>
              <w:spacing w:after="120"/>
              <w:ind w:firstLine="84"/>
              <w:rPr>
                <w:i/>
                <w:iCs/>
                <w:sz w:val="18"/>
                <w:szCs w:val="18"/>
              </w:rPr>
            </w:pPr>
          </w:p>
        </w:tc>
      </w:tr>
    </w:tbl>
    <w:p w14:paraId="0445A5CB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/>
        <w:rPr>
          <w:b/>
          <w:sz w:val="24"/>
          <w:szCs w:val="24"/>
        </w:rPr>
      </w:pPr>
      <w:r w:rsidRPr="00B4784D">
        <w:rPr>
          <w:b/>
          <w:sz w:val="24"/>
          <w:szCs w:val="24"/>
        </w:rPr>
        <w:t>Приложение В: процессы, в которых применяются ртуть или ртутные соединения</w:t>
      </w:r>
    </w:p>
    <w:tbl>
      <w:tblPr>
        <w:tblW w:w="8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9"/>
        <w:gridCol w:w="208"/>
        <w:gridCol w:w="567"/>
        <w:gridCol w:w="1970"/>
        <w:gridCol w:w="581"/>
        <w:gridCol w:w="1568"/>
        <w:gridCol w:w="1322"/>
      </w:tblGrid>
      <w:tr w:rsidR="00B4784D" w:rsidRPr="00B4784D" w14:paraId="4029D445" w14:textId="77777777" w:rsidTr="00E65C70">
        <w:trPr>
          <w:trHeight w:val="227"/>
          <w:jc w:val="right"/>
        </w:trPr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F60BA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i/>
                <w:iCs/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РЕГИСТРАЦИЯ ИСКЛЮЧЕНИЯ В СООТВЕТСТВИИ СО СТАТЬЕЙ 5</w:t>
            </w:r>
          </w:p>
        </w:tc>
      </w:tr>
      <w:tr w:rsidR="00B4784D" w:rsidRPr="00B4784D" w14:paraId="4F76D837" w14:textId="77777777" w:rsidTr="00E65C70">
        <w:trPr>
          <w:trHeight w:val="227"/>
          <w:jc w:val="right"/>
        </w:trPr>
        <w:tc>
          <w:tcPr>
            <w:tcW w:w="833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C1236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СТОРОНА:</w:t>
            </w:r>
          </w:p>
        </w:tc>
      </w:tr>
      <w:tr w:rsidR="00B4784D" w:rsidRPr="00B4784D" w14:paraId="5DBF34AF" w14:textId="77777777" w:rsidTr="00E65C70">
        <w:trPr>
          <w:trHeight w:val="227"/>
          <w:jc w:val="right"/>
        </w:trPr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1949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b/>
                <w:bCs/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Секретариат </w:t>
            </w:r>
            <w:proofErr w:type="spellStart"/>
            <w:r w:rsidRPr="00B4784D">
              <w:rPr>
                <w:sz w:val="18"/>
                <w:szCs w:val="18"/>
              </w:rPr>
              <w:t>Минаматской</w:t>
            </w:r>
            <w:proofErr w:type="spellEnd"/>
            <w:r w:rsidRPr="00B4784D">
              <w:rPr>
                <w:sz w:val="18"/>
                <w:szCs w:val="18"/>
              </w:rPr>
              <w:t xml:space="preserve"> конвенции настоящим уведомляется о регистрации следующего исключения в соответствии с пунктом 1 статьи 6 Конвенции.</w:t>
            </w:r>
          </w:p>
        </w:tc>
      </w:tr>
      <w:tr w:rsidR="00B4784D" w:rsidRPr="00B4784D" w14:paraId="13C90C6F" w14:textId="77777777" w:rsidTr="00E65C70">
        <w:trPr>
          <w:trHeight w:val="227"/>
          <w:jc w:val="right"/>
        </w:trPr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4FBC3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Производственные процессы, в которых применяются ртуть или ртутные соединения, указанные в части I приложения 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B27AD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b/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Указать категорию или подкатегорию, в отношении которой регистрируется исключение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0EC3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Срок действия исключения (если менее 5 лет после наступления срока поэтапного вывода из обращения)</w:t>
            </w:r>
          </w:p>
        </w:tc>
      </w:tr>
      <w:tr w:rsidR="00B4784D" w:rsidRPr="00B4784D" w14:paraId="30CF5CA4" w14:textId="77777777" w:rsidTr="00E65C70">
        <w:trPr>
          <w:trHeight w:val="227"/>
          <w:jc w:val="right"/>
        </w:trPr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EBDA4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Хлорно-щелочное производство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02B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trike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ADA8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B4784D" w:rsidRPr="00B4784D" w14:paraId="6F8FC012" w14:textId="77777777" w:rsidTr="00E65C70">
        <w:trPr>
          <w:trHeight w:val="227"/>
          <w:jc w:val="right"/>
        </w:trPr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DE5D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Производство ацетальдегида, в котором ртуть или ртутные соединения применяются в качестве катализатора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6703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trike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8DAC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B4784D" w:rsidRPr="00B4784D" w14:paraId="357FC178" w14:textId="77777777" w:rsidTr="00E65C70">
        <w:trPr>
          <w:trHeight w:val="227"/>
          <w:jc w:val="right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6267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Просьба приложить пояснительное заявление о необходимости исключения: по одному заявлению на каждую категорию процессов.</w:t>
            </w:r>
          </w:p>
          <w:p w14:paraId="3A7410F7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В рамках пояснения о необходимости исключения или в дополнение к нему регистрирующая Сторона может при необходимости указать следующие сведения: </w:t>
            </w:r>
          </w:p>
          <w:p w14:paraId="11BB9DD6" w14:textId="77777777" w:rsidR="00B4784D" w:rsidRPr="00B4784D" w:rsidRDefault="00B4784D" w:rsidP="00B4784D">
            <w:pPr>
              <w:numPr>
                <w:ilvl w:val="0"/>
                <w:numId w:val="3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851" w:hanging="284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любой график или план действий по поэтапному прекращению использования ртути на объектах; и</w:t>
            </w:r>
          </w:p>
          <w:p w14:paraId="65A2E6DE" w14:textId="77777777" w:rsidR="00B4784D" w:rsidRPr="00B4784D" w:rsidRDefault="00B4784D" w:rsidP="00B4784D">
            <w:pPr>
              <w:numPr>
                <w:ilvl w:val="0"/>
                <w:numId w:val="3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left="851" w:hanging="284"/>
              <w:jc w:val="both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объекты, в отношении которых регистрируется исключение, включая мощность этих объектов и расчетный объем ежегодного потребления ртути на этих объектах.</w:t>
            </w:r>
          </w:p>
        </w:tc>
      </w:tr>
      <w:tr w:rsidR="00B4784D" w:rsidRPr="00B4784D" w14:paraId="72020687" w14:textId="77777777" w:rsidTr="00E65C70">
        <w:trPr>
          <w:trHeight w:val="227"/>
          <w:jc w:val="right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DE4E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trike/>
                <w:sz w:val="18"/>
                <w:szCs w:val="18"/>
              </w:rPr>
            </w:pPr>
          </w:p>
        </w:tc>
        <w:tc>
          <w:tcPr>
            <w:tcW w:w="4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21567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BFAD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B4784D" w:rsidRPr="00B4784D" w14:paraId="78E7D805" w14:textId="77777777" w:rsidTr="00E65C70">
        <w:trPr>
          <w:trHeight w:val="227"/>
          <w:jc w:val="right"/>
        </w:trPr>
        <w:tc>
          <w:tcPr>
            <w:tcW w:w="7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16AB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sz w:val="18"/>
                <w:szCs w:val="18"/>
                <w:lang w:val="en-GB"/>
              </w:rPr>
            </w:pPr>
            <w:r w:rsidRPr="00B4784D">
              <w:rPr>
                <w:b/>
                <w:sz w:val="18"/>
                <w:szCs w:val="18"/>
              </w:rPr>
              <w:t>НАСТОЯЩЕЕ УВЕДОМЛЕНИЕ ПРЕДСТАВЛЕНО: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8E50C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B4784D" w:rsidRPr="00B4784D" w14:paraId="1C430F28" w14:textId="77777777" w:rsidTr="00E65C70">
        <w:trPr>
          <w:trHeight w:val="227"/>
          <w:jc w:val="right"/>
        </w:trPr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2FC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Наименование должности: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0B7C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799C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4784D" w:rsidRPr="00B4784D" w14:paraId="62A00655" w14:textId="77777777" w:rsidTr="00E65C70">
        <w:trPr>
          <w:trHeight w:val="227"/>
          <w:jc w:val="right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3D4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Учреждение/ведомство:</w:t>
            </w: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E58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1A05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4784D" w:rsidRPr="00B4784D" w14:paraId="3C12AFA8" w14:textId="77777777" w:rsidTr="00E65C70">
        <w:trPr>
          <w:trHeight w:val="227"/>
          <w:jc w:val="right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E6E3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Адрес:</w:t>
            </w: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5D8B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777C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4784D" w:rsidRPr="00B4784D" w14:paraId="11720FF5" w14:textId="77777777" w:rsidTr="00E65C70">
        <w:trPr>
          <w:trHeight w:val="227"/>
          <w:jc w:val="right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912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lastRenderedPageBreak/>
              <w:t>Телефон: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60B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Факс: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104A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Адрес эл. почты: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1D7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4784D" w:rsidRPr="00B4784D" w14:paraId="25C7376B" w14:textId="77777777" w:rsidTr="00E65C70">
        <w:trPr>
          <w:trHeight w:val="227"/>
          <w:jc w:val="right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DB4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2D1B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429E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 xml:space="preserve">Дата: </w:t>
            </w:r>
            <w:r w:rsidRPr="00B4784D">
              <w:rPr>
                <w:i/>
                <w:sz w:val="18"/>
                <w:szCs w:val="18"/>
              </w:rPr>
              <w:t>(день/месяц/год)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912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4784D" w:rsidRPr="00B4784D" w14:paraId="7FB3D4C6" w14:textId="77777777" w:rsidTr="00E65C70">
        <w:trPr>
          <w:trHeight w:val="227"/>
          <w:jc w:val="right"/>
        </w:trPr>
        <w:tc>
          <w:tcPr>
            <w:tcW w:w="8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5BF96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B4784D" w:rsidRPr="00B4784D" w14:paraId="632337D1" w14:textId="77777777" w:rsidTr="00E65C70">
        <w:trPr>
          <w:trHeight w:val="227"/>
          <w:jc w:val="right"/>
        </w:trPr>
        <w:tc>
          <w:tcPr>
            <w:tcW w:w="7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6B6B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sz w:val="18"/>
                <w:szCs w:val="18"/>
              </w:rPr>
            </w:pPr>
            <w:r w:rsidRPr="00B4784D">
              <w:rPr>
                <w:b/>
                <w:sz w:val="18"/>
                <w:szCs w:val="18"/>
              </w:rPr>
              <w:t>ПРОСЬБА ВЕРНУТЬ ЗАПОЛНЕННУЮ ФОРМУ ПО АДРЕСУ: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CCEB9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b/>
                <w:sz w:val="18"/>
                <w:szCs w:val="18"/>
              </w:rPr>
            </w:pPr>
          </w:p>
        </w:tc>
      </w:tr>
      <w:tr w:rsidR="00B4784D" w:rsidRPr="00B4784D" w14:paraId="3807B4EA" w14:textId="77777777" w:rsidTr="00E65C70">
        <w:trPr>
          <w:trHeight w:val="227"/>
          <w:jc w:val="right"/>
        </w:trPr>
        <w:tc>
          <w:tcPr>
            <w:tcW w:w="486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92137FF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en-US"/>
              </w:rPr>
            </w:pPr>
            <w:r w:rsidRPr="00B4784D">
              <w:rPr>
                <w:sz w:val="18"/>
                <w:szCs w:val="18"/>
                <w:lang w:val="en-US"/>
              </w:rPr>
              <w:t>Secretariat of the Minamata Convention on Mercury</w:t>
            </w:r>
          </w:p>
          <w:p w14:paraId="6A6E212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CH"/>
              </w:rPr>
            </w:pPr>
            <w:r w:rsidRPr="00B4784D">
              <w:rPr>
                <w:sz w:val="18"/>
                <w:szCs w:val="18"/>
                <w:lang w:val="fr-CH"/>
              </w:rPr>
              <w:t xml:space="preserve">United Nations </w:t>
            </w:r>
            <w:proofErr w:type="spellStart"/>
            <w:r w:rsidRPr="00B4784D">
              <w:rPr>
                <w:sz w:val="18"/>
                <w:szCs w:val="18"/>
                <w:lang w:val="fr-CH"/>
              </w:rPr>
              <w:t>Environment</w:t>
            </w:r>
            <w:proofErr w:type="spellEnd"/>
            <w:r w:rsidRPr="00B4784D">
              <w:rPr>
                <w:sz w:val="18"/>
                <w:szCs w:val="18"/>
                <w:lang w:val="fr-CH"/>
              </w:rPr>
              <w:t xml:space="preserve"> Programme (UNEP)</w:t>
            </w:r>
          </w:p>
          <w:p w14:paraId="1DF9D39F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CH"/>
              </w:rPr>
            </w:pPr>
            <w:r w:rsidRPr="00B4784D">
              <w:rPr>
                <w:sz w:val="18"/>
                <w:szCs w:val="18"/>
                <w:lang w:val="fr-CH"/>
              </w:rPr>
              <w:t xml:space="preserve">International </w:t>
            </w:r>
            <w:proofErr w:type="spellStart"/>
            <w:r w:rsidRPr="00B4784D">
              <w:rPr>
                <w:sz w:val="18"/>
                <w:szCs w:val="18"/>
                <w:lang w:val="fr-CH"/>
              </w:rPr>
              <w:t>Environment</w:t>
            </w:r>
            <w:proofErr w:type="spellEnd"/>
            <w:r w:rsidRPr="00B4784D">
              <w:rPr>
                <w:sz w:val="18"/>
                <w:szCs w:val="18"/>
                <w:lang w:val="fr-CH"/>
              </w:rPr>
              <w:t xml:space="preserve"> House</w:t>
            </w:r>
          </w:p>
          <w:p w14:paraId="14382C11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CH"/>
              </w:rPr>
            </w:pPr>
            <w:r w:rsidRPr="00B4784D">
              <w:rPr>
                <w:sz w:val="18"/>
                <w:szCs w:val="18"/>
                <w:lang w:val="fr-CH"/>
              </w:rPr>
              <w:t xml:space="preserve">11-13, Chemin des Anémones, CH–1219 Châtelaine, </w:t>
            </w:r>
            <w:r w:rsidRPr="00B4784D">
              <w:rPr>
                <w:sz w:val="18"/>
                <w:szCs w:val="18"/>
                <w:lang w:val="fr-CH"/>
              </w:rPr>
              <w:br/>
              <w:t xml:space="preserve">Geneva, </w:t>
            </w:r>
            <w:proofErr w:type="spellStart"/>
            <w:r w:rsidRPr="00B4784D">
              <w:rPr>
                <w:sz w:val="18"/>
                <w:szCs w:val="18"/>
                <w:lang w:val="fr-CH"/>
              </w:rPr>
              <w:t>Switzerland</w:t>
            </w:r>
            <w:proofErr w:type="spellEnd"/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9FF4F95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Факс: +41 22 797 3460</w:t>
            </w:r>
          </w:p>
          <w:p w14:paraId="629CE4F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</w:rPr>
            </w:pPr>
            <w:r w:rsidRPr="00B4784D">
              <w:rPr>
                <w:sz w:val="18"/>
                <w:szCs w:val="18"/>
              </w:rPr>
              <w:t>Адрес эл. почты: mercury.chemicals@unep.org</w:t>
            </w:r>
          </w:p>
        </w:tc>
      </w:tr>
    </w:tbl>
    <w:p w14:paraId="1AB433CD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8"/>
        <w:rPr>
          <w:b/>
          <w:sz w:val="24"/>
          <w:szCs w:val="24"/>
        </w:rPr>
      </w:pPr>
      <w:r w:rsidRPr="00B4784D">
        <w:rPr>
          <w:b/>
          <w:sz w:val="24"/>
          <w:szCs w:val="24"/>
        </w:rPr>
        <w:t>Предлагаемая форма для реестра исключений в отношении</w:t>
      </w:r>
      <w:r w:rsidRPr="00B4784D">
        <w:rPr>
          <w:b/>
          <w:sz w:val="24"/>
          <w:szCs w:val="24"/>
        </w:rPr>
        <w:br/>
        <w:t xml:space="preserve">сроков поэтапного вывода из обращения, указанных в части I приложения A к </w:t>
      </w:r>
      <w:proofErr w:type="spellStart"/>
      <w:r w:rsidRPr="00B4784D">
        <w:rPr>
          <w:b/>
          <w:sz w:val="24"/>
          <w:szCs w:val="24"/>
        </w:rPr>
        <w:t>Минаматской</w:t>
      </w:r>
      <w:proofErr w:type="spellEnd"/>
      <w:r w:rsidRPr="00B4784D">
        <w:rPr>
          <w:b/>
          <w:sz w:val="24"/>
          <w:szCs w:val="24"/>
        </w:rPr>
        <w:t xml:space="preserve"> конвенции о ртути</w:t>
      </w:r>
    </w:p>
    <w:tbl>
      <w:tblPr>
        <w:tblW w:w="8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1"/>
        <w:gridCol w:w="3384"/>
        <w:gridCol w:w="2410"/>
        <w:gridCol w:w="1330"/>
      </w:tblGrid>
      <w:tr w:rsidR="00B4784D" w:rsidRPr="00B4784D" w14:paraId="187CD68C" w14:textId="77777777" w:rsidTr="00E65C70">
        <w:trPr>
          <w:trHeight w:val="227"/>
          <w:tblHeader/>
          <w:jc w:val="righ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FB32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Сторона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57B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Указать конкретную категорию/подкатегорию, в отношении которой регистрируется исключение, и предусматривается ли производство, импорт и/или экспорт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4A4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Обоснование исключения</w:t>
            </w: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br/>
              <w:t>В установленном порядке</w:t>
            </w:r>
            <w:r w:rsidRPr="00B4784D">
              <w:rPr>
                <w:i/>
                <w:sz w:val="18"/>
                <w:szCs w:val="18"/>
                <w:lang w:eastAsia="ru-RU" w:bidi="ru-RU"/>
              </w:rPr>
              <w:t xml:space="preserve"> (здесь будет размещена гиперссылка, ведущая на заявление, предоставленное Стороной)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8B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 xml:space="preserve">Окончание срока действия </w:t>
            </w:r>
            <w:proofErr w:type="spellStart"/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исключения</w:t>
            </w:r>
            <w:r w:rsidRPr="00B4784D">
              <w:rPr>
                <w:b/>
                <w:i/>
                <w:sz w:val="18"/>
                <w:szCs w:val="18"/>
                <w:vertAlign w:val="superscript"/>
                <w:lang w:eastAsia="ru-RU" w:bidi="ru-RU"/>
              </w:rPr>
              <w:t>a</w:t>
            </w:r>
            <w:proofErr w:type="spellEnd"/>
          </w:p>
        </w:tc>
      </w:tr>
    </w:tbl>
    <w:p w14:paraId="083F7D93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240"/>
        <w:ind w:left="1247"/>
        <w:rPr>
          <w:b/>
          <w:sz w:val="16"/>
          <w:szCs w:val="16"/>
          <w:lang w:bidi="ru-RU"/>
        </w:rPr>
      </w:pPr>
      <w:r w:rsidRPr="00B4784D">
        <w:rPr>
          <w:sz w:val="16"/>
          <w:szCs w:val="16"/>
          <w:vertAlign w:val="superscript"/>
        </w:rPr>
        <w:t>a</w:t>
      </w:r>
      <w:r w:rsidRPr="00B4784D">
        <w:rPr>
          <w:sz w:val="16"/>
          <w:szCs w:val="16"/>
        </w:rPr>
        <w:t xml:space="preserve"> Если Стороной не указано иное, срок действия всех исключений истекает спустя пять лет после наступления соответствующего срока поэтапного вывода из обращения, указанного в части I приложения А.</w:t>
      </w:r>
    </w:p>
    <w:p w14:paraId="06C1132C" w14:textId="77777777" w:rsidR="00B4784D" w:rsidRPr="00B4784D" w:rsidRDefault="00B4784D" w:rsidP="00B4784D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B4784D">
        <w:rPr>
          <w:b/>
          <w:sz w:val="24"/>
          <w:szCs w:val="24"/>
        </w:rPr>
        <w:t xml:space="preserve">Предлагаемая форма для реестра исключений в отношении </w:t>
      </w:r>
      <w:r w:rsidRPr="00B4784D">
        <w:rPr>
          <w:b/>
          <w:sz w:val="24"/>
          <w:szCs w:val="24"/>
        </w:rPr>
        <w:br/>
        <w:t xml:space="preserve">сроков поэтапного вывода из обращения, указанных в части I приложения B </w:t>
      </w:r>
      <w:proofErr w:type="spellStart"/>
      <w:r w:rsidRPr="00B4784D">
        <w:rPr>
          <w:b/>
          <w:sz w:val="24"/>
          <w:szCs w:val="24"/>
        </w:rPr>
        <w:t>Минаматской</w:t>
      </w:r>
      <w:proofErr w:type="spellEnd"/>
      <w:r w:rsidRPr="00B4784D">
        <w:rPr>
          <w:b/>
          <w:sz w:val="24"/>
          <w:szCs w:val="24"/>
        </w:rPr>
        <w:t xml:space="preserve"> конвенции о ртути</w:t>
      </w:r>
    </w:p>
    <w:tbl>
      <w:tblPr>
        <w:tblW w:w="8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1"/>
        <w:gridCol w:w="2958"/>
        <w:gridCol w:w="2835"/>
        <w:gridCol w:w="1331"/>
      </w:tblGrid>
      <w:tr w:rsidR="00B4784D" w:rsidRPr="00B4784D" w14:paraId="675D202B" w14:textId="77777777" w:rsidTr="00E65C70">
        <w:trPr>
          <w:trHeight w:val="227"/>
          <w:tblHeader/>
          <w:jc w:val="righ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3D40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Сторона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97EA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Конкретная категория/подкатегория, в отношении которой регистрируется исключение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D9C8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Обоснование исключения</w:t>
            </w: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br/>
              <w:t>В установленном порядке</w:t>
            </w:r>
            <w:r w:rsidRPr="00B4784D">
              <w:rPr>
                <w:i/>
                <w:sz w:val="18"/>
                <w:szCs w:val="18"/>
                <w:lang w:eastAsia="ru-RU" w:bidi="ru-RU"/>
              </w:rPr>
              <w:t xml:space="preserve"> (здесь будет размещена гиперссылка, ведущая на заявление, предоставленное Стороной)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851B" w14:textId="77777777" w:rsidR="00B4784D" w:rsidRPr="00B4784D" w:rsidRDefault="00B4784D" w:rsidP="00B4784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b/>
                <w:i/>
                <w:sz w:val="18"/>
                <w:szCs w:val="18"/>
                <w:lang w:eastAsia="ru-RU" w:bidi="ru-RU"/>
              </w:rPr>
            </w:pPr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 xml:space="preserve">Окончание срока действия </w:t>
            </w:r>
            <w:proofErr w:type="spellStart"/>
            <w:r w:rsidRPr="00B4784D">
              <w:rPr>
                <w:b/>
                <w:i/>
                <w:sz w:val="18"/>
                <w:szCs w:val="18"/>
                <w:lang w:eastAsia="ru-RU" w:bidi="ru-RU"/>
              </w:rPr>
              <w:t>исключения</w:t>
            </w:r>
            <w:r w:rsidRPr="00B4784D">
              <w:rPr>
                <w:b/>
                <w:i/>
                <w:sz w:val="18"/>
                <w:szCs w:val="18"/>
                <w:vertAlign w:val="superscript"/>
                <w:lang w:eastAsia="ru-RU" w:bidi="ru-RU"/>
              </w:rPr>
              <w:t>a</w:t>
            </w:r>
            <w:proofErr w:type="spellEnd"/>
          </w:p>
        </w:tc>
      </w:tr>
    </w:tbl>
    <w:p w14:paraId="7AA7F6C5" w14:textId="77777777" w:rsidR="00B4784D" w:rsidRPr="00B4784D" w:rsidRDefault="00B4784D" w:rsidP="00B4784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240"/>
        <w:ind w:left="1247"/>
        <w:rPr>
          <w:bCs/>
          <w:sz w:val="16"/>
          <w:szCs w:val="16"/>
        </w:rPr>
      </w:pPr>
      <w:r w:rsidRPr="00B4784D">
        <w:rPr>
          <w:sz w:val="16"/>
          <w:szCs w:val="16"/>
          <w:vertAlign w:val="superscript"/>
        </w:rPr>
        <w:t>a</w:t>
      </w:r>
      <w:r w:rsidRPr="00B4784D">
        <w:rPr>
          <w:sz w:val="16"/>
          <w:szCs w:val="16"/>
        </w:rPr>
        <w:t xml:space="preserve"> Если Стороной не указано иное, срок действия всех исключений истекает спустя пять лет после наступления соответствующего срока поэтапного вывода из обращения, указанного в части I приложения B.</w:t>
      </w:r>
    </w:p>
    <w:p w14:paraId="3220FEE0" w14:textId="77777777" w:rsidR="00A13E8C" w:rsidRPr="00A13E8C" w:rsidRDefault="00A13E8C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A13E8C" w:rsidRPr="00A13E8C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F906" w14:textId="77777777" w:rsidR="006250DE" w:rsidRDefault="006250DE">
      <w:r>
        <w:separator/>
      </w:r>
    </w:p>
  </w:endnote>
  <w:endnote w:type="continuationSeparator" w:id="0">
    <w:p w14:paraId="7705DAB5" w14:textId="77777777" w:rsidR="006250DE" w:rsidRDefault="0062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0BE9" w14:textId="77777777" w:rsidR="006250DE" w:rsidRDefault="006250DE" w:rsidP="00851756">
      <w:pPr>
        <w:spacing w:before="60"/>
        <w:ind w:left="624"/>
      </w:pPr>
      <w:r>
        <w:separator/>
      </w:r>
    </w:p>
  </w:footnote>
  <w:footnote w:type="continuationSeparator" w:id="0">
    <w:p w14:paraId="5E12F1E9" w14:textId="77777777" w:rsidR="006250DE" w:rsidRDefault="006250DE">
      <w:r>
        <w:continuationSeparator/>
      </w:r>
    </w:p>
  </w:footnote>
  <w:footnote w:id="1">
    <w:p w14:paraId="18B2EC03" w14:textId="77777777" w:rsidR="00B4784D" w:rsidRPr="00882E42" w:rsidRDefault="00B4784D" w:rsidP="00B4784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882E42">
        <w:rPr>
          <w:rStyle w:val="FootnoteReference"/>
          <w:sz w:val="18"/>
        </w:rPr>
        <w:footnoteRef/>
      </w:r>
      <w:r w:rsidRPr="00882E42">
        <w:rPr>
          <w:szCs w:val="18"/>
        </w:rPr>
        <w:tab/>
        <w:t>Предполагается не учитывать косметику, мыло или кремы, имеющие следовые загрязнения ртутью.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175F5128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B4784D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94B946B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B4784D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2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8"/>
  </w:num>
  <w:num w:numId="19">
    <w:abstractNumId w:val="9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3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2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1"/>
  </w:num>
  <w:num w:numId="24">
    <w:abstractNumId w:val="19"/>
  </w:num>
  <w:num w:numId="25">
    <w:abstractNumId w:val="4"/>
  </w:num>
  <w:num w:numId="26">
    <w:abstractNumId w:val="1"/>
  </w:num>
  <w:num w:numId="27">
    <w:abstractNumId w:val="18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0"/>
  </w:num>
  <w:num w:numId="29">
    <w:abstractNumId w:val="15"/>
  </w:num>
  <w:num w:numId="30">
    <w:abstractNumId w:val="6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62D6"/>
    <w:rsid w:val="00457B01"/>
    <w:rsid w:val="00461A6D"/>
    <w:rsid w:val="0046222F"/>
    <w:rsid w:val="00463DE9"/>
    <w:rsid w:val="00464D24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0DE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3ED1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3A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43498-E2C9-455E-8F00-0DB894AE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2020-11-09T11:39:00Z</cp:lastPrinted>
  <dcterms:created xsi:type="dcterms:W3CDTF">2020-11-06T09:56:00Z</dcterms:created>
  <dcterms:modified xsi:type="dcterms:W3CDTF">2020-11-09T11:39:00Z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