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3B2D1E56"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FD64B5">
              <w:t>2</w:t>
            </w:r>
            <w:bookmarkStart w:id="0" w:name="_GoBack"/>
            <w:bookmarkEnd w:id="0"/>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7F1F3E1A" w14:textId="77777777" w:rsidR="00FD64B5" w:rsidRDefault="00CB2628" w:rsidP="00FD64B5">
      <w:pPr>
        <w:pStyle w:val="CH2"/>
      </w:pPr>
      <w:r w:rsidRPr="00A7082A">
        <w:rPr>
          <w:bCs/>
        </w:rPr>
        <w:tab/>
      </w:r>
      <w:r w:rsidRPr="00A7082A">
        <w:rPr>
          <w:bCs/>
        </w:rPr>
        <w:tab/>
      </w:r>
      <w:r w:rsidR="00FD64B5">
        <w:t xml:space="preserve">MC-1/12: Formats to be used in registering for an exemption from the </w:t>
      </w:r>
      <w:r w:rsidR="00FD64B5">
        <w:br/>
        <w:t>phase-out dates listed in Annex A and Annex B and for the register of exemptions</w:t>
      </w:r>
    </w:p>
    <w:p w14:paraId="6C9E74F0" w14:textId="77777777" w:rsidR="00FD64B5" w:rsidRDefault="00FD64B5" w:rsidP="00FD64B5">
      <w:pPr>
        <w:pStyle w:val="Normal-pool"/>
        <w:tabs>
          <w:tab w:val="left" w:pos="624"/>
        </w:tabs>
        <w:spacing w:after="120"/>
        <w:ind w:left="1247" w:firstLine="624"/>
        <w:rPr>
          <w:i/>
        </w:rPr>
      </w:pPr>
      <w:r>
        <w:rPr>
          <w:i/>
        </w:rPr>
        <w:t>The Conference of the Parties</w:t>
      </w:r>
    </w:p>
    <w:p w14:paraId="15F90105" w14:textId="77777777" w:rsidR="00FD64B5" w:rsidRDefault="00FD64B5" w:rsidP="003C33E1">
      <w:pPr>
        <w:pStyle w:val="Normal-pool"/>
        <w:numPr>
          <w:ilvl w:val="0"/>
          <w:numId w:val="13"/>
        </w:numPr>
        <w:tabs>
          <w:tab w:val="left" w:pos="624"/>
        </w:tabs>
        <w:spacing w:after="120"/>
        <w:ind w:left="1247" w:firstLine="624"/>
      </w:pPr>
      <w:r>
        <w:rPr>
          <w:i/>
        </w:rPr>
        <w:t xml:space="preserve">Adopts </w:t>
      </w:r>
      <w:r>
        <w:t>the</w:t>
      </w:r>
      <w:r>
        <w:rPr>
          <w:i/>
        </w:rPr>
        <w:t xml:space="preserve"> </w:t>
      </w:r>
      <w:r>
        <w:t xml:space="preserve">formats for registering for an exemption pursuant to paragraphs 1 and 2 of article 6, as </w:t>
      </w:r>
      <w:r>
        <w:rPr>
          <w:iCs/>
        </w:rPr>
        <w:t>set out in the annex to the present decision;</w:t>
      </w:r>
    </w:p>
    <w:p w14:paraId="0CA8CA9A" w14:textId="77777777" w:rsidR="00FD64B5" w:rsidRDefault="00FD64B5" w:rsidP="003C33E1">
      <w:pPr>
        <w:pStyle w:val="Normal-pool"/>
        <w:numPr>
          <w:ilvl w:val="0"/>
          <w:numId w:val="13"/>
        </w:numPr>
        <w:tabs>
          <w:tab w:val="left" w:pos="624"/>
        </w:tabs>
        <w:spacing w:after="120"/>
        <w:ind w:left="1247" w:firstLine="624"/>
      </w:pPr>
      <w:r>
        <w:rPr>
          <w:i/>
        </w:rPr>
        <w:t xml:space="preserve">Also adopts </w:t>
      </w:r>
      <w:r>
        <w:t>the</w:t>
      </w:r>
      <w:r>
        <w:rPr>
          <w:i/>
        </w:rPr>
        <w:t xml:space="preserve"> </w:t>
      </w:r>
      <w:r>
        <w:t xml:space="preserve">formats for the register of exemptions pursuant to paragraphs 3 and 4 of article 6, as </w:t>
      </w:r>
      <w:r>
        <w:rPr>
          <w:iCs/>
        </w:rPr>
        <w:t>set out in the annex to the present decision;</w:t>
      </w:r>
    </w:p>
    <w:p w14:paraId="427128BF" w14:textId="77777777" w:rsidR="00FD64B5" w:rsidRDefault="00FD64B5" w:rsidP="003C33E1">
      <w:pPr>
        <w:pStyle w:val="Normal-pool"/>
        <w:numPr>
          <w:ilvl w:val="0"/>
          <w:numId w:val="13"/>
        </w:numPr>
        <w:tabs>
          <w:tab w:val="left" w:pos="624"/>
        </w:tabs>
        <w:spacing w:after="120"/>
        <w:ind w:left="1247" w:firstLine="624"/>
      </w:pPr>
      <w:r>
        <w:rPr>
          <w:i/>
        </w:rPr>
        <w:t xml:space="preserve">Requests </w:t>
      </w:r>
      <w:r>
        <w:rPr>
          <w:iCs/>
        </w:rPr>
        <w:t xml:space="preserve">the secretariat to make available to States and regional economic integration organizations the above-mentioned formats </w:t>
      </w:r>
      <w:r>
        <w:t>for registering for an exemption</w:t>
      </w:r>
      <w:r>
        <w:rPr>
          <w:iCs/>
        </w:rPr>
        <w:t>;</w:t>
      </w:r>
      <w:r>
        <w:rPr>
          <w:i/>
        </w:rPr>
        <w:t xml:space="preserve"> </w:t>
      </w:r>
    </w:p>
    <w:p w14:paraId="0A350713" w14:textId="77777777" w:rsidR="00FD64B5" w:rsidRDefault="00FD64B5" w:rsidP="003C33E1">
      <w:pPr>
        <w:pStyle w:val="Normal-pool"/>
        <w:numPr>
          <w:ilvl w:val="0"/>
          <w:numId w:val="13"/>
        </w:numPr>
        <w:tabs>
          <w:tab w:val="left" w:pos="624"/>
        </w:tabs>
        <w:spacing w:after="120"/>
        <w:ind w:left="1247" w:firstLine="624"/>
      </w:pPr>
      <w:r>
        <w:rPr>
          <w:i/>
        </w:rPr>
        <w:t xml:space="preserve">Instructs </w:t>
      </w:r>
      <w:r>
        <w:rPr>
          <w:iCs/>
        </w:rPr>
        <w:t xml:space="preserve">the secretariat to establish </w:t>
      </w:r>
      <w:r>
        <w:t xml:space="preserve">the register of exemptions as per the </w:t>
      </w:r>
      <w:r>
        <w:rPr>
          <w:iCs/>
        </w:rPr>
        <w:t>above</w:t>
      </w:r>
      <w:r>
        <w:rPr>
          <w:iCs/>
        </w:rPr>
        <w:noBreakHyphen/>
        <w:t>mentioned formats, maintain the register and make it available to the public.</w:t>
      </w:r>
    </w:p>
    <w:p w14:paraId="2F5D15A8" w14:textId="77777777" w:rsidR="00FD64B5" w:rsidRDefault="00FD64B5" w:rsidP="00FD64B5">
      <w:pPr>
        <w:pStyle w:val="CH2"/>
        <w:ind w:firstLine="0"/>
      </w:pPr>
      <w:r>
        <w:rPr>
          <w:b w:val="0"/>
        </w:rPr>
        <w:br w:type="page"/>
      </w:r>
      <w:r>
        <w:lastRenderedPageBreak/>
        <w:t>Annex to decision MC-1/12</w:t>
      </w:r>
    </w:p>
    <w:p w14:paraId="211498E3" w14:textId="77777777" w:rsidR="00FD64B5" w:rsidRDefault="00FD64B5" w:rsidP="00FD64B5">
      <w:pPr>
        <w:pStyle w:val="ZZAnxtitle"/>
      </w:pPr>
      <w:r>
        <w:t>Proposed format for the registration of exemptions for the products and processes listed in Part I of Annexes A and B to the Minamata Convention</w:t>
      </w:r>
    </w:p>
    <w:p w14:paraId="2E3A018D" w14:textId="77777777" w:rsidR="00FD64B5" w:rsidRDefault="00FD64B5" w:rsidP="00FD64B5">
      <w:pPr>
        <w:pStyle w:val="CH2"/>
      </w:pPr>
      <w:r>
        <w:tab/>
      </w:r>
      <w:r>
        <w:tab/>
        <w:t>Annex A: Mercury-added products</w:t>
      </w:r>
    </w:p>
    <w:tbl>
      <w:tblPr>
        <w:tblW w:w="8820" w:type="dxa"/>
        <w:tblInd w:w="676" w:type="dxa"/>
        <w:tblLayout w:type="fixed"/>
        <w:tblLook w:val="01E0" w:firstRow="1" w:lastRow="1" w:firstColumn="1" w:lastColumn="1" w:noHBand="0" w:noVBand="0"/>
      </w:tblPr>
      <w:tblGrid>
        <w:gridCol w:w="3685"/>
        <w:gridCol w:w="2691"/>
        <w:gridCol w:w="1273"/>
        <w:gridCol w:w="1171"/>
      </w:tblGrid>
      <w:tr w:rsidR="00FD64B5" w14:paraId="1773D2F6" w14:textId="77777777" w:rsidTr="00FD64B5">
        <w:trPr>
          <w:trHeight w:val="519"/>
          <w:tblHeader/>
        </w:trPr>
        <w:tc>
          <w:tcPr>
            <w:tcW w:w="7651" w:type="dxa"/>
            <w:gridSpan w:val="3"/>
            <w:tcBorders>
              <w:top w:val="single" w:sz="4" w:space="0" w:color="auto"/>
              <w:left w:val="nil"/>
              <w:bottom w:val="single" w:sz="12" w:space="0" w:color="auto"/>
              <w:right w:val="nil"/>
            </w:tcBorders>
            <w:vAlign w:val="center"/>
            <w:hideMark/>
          </w:tcPr>
          <w:p w14:paraId="025A43D6" w14:textId="77777777" w:rsidR="00FD64B5" w:rsidRDefault="00FD64B5">
            <w:pPr>
              <w:rPr>
                <w:b/>
                <w:bCs/>
                <w:sz w:val="18"/>
                <w:szCs w:val="18"/>
              </w:rPr>
            </w:pPr>
            <w:r>
              <w:rPr>
                <w:b/>
                <w:bCs/>
                <w:sz w:val="18"/>
                <w:szCs w:val="18"/>
              </w:rPr>
              <w:t>REGISTRATION OF EXEMPTION FOR ARTICLE 4</w:t>
            </w:r>
          </w:p>
        </w:tc>
        <w:tc>
          <w:tcPr>
            <w:tcW w:w="1171" w:type="dxa"/>
            <w:tcBorders>
              <w:top w:val="single" w:sz="4" w:space="0" w:color="auto"/>
              <w:left w:val="nil"/>
              <w:bottom w:val="single" w:sz="12" w:space="0" w:color="auto"/>
              <w:right w:val="nil"/>
            </w:tcBorders>
          </w:tcPr>
          <w:p w14:paraId="5BE91267" w14:textId="77777777" w:rsidR="00FD64B5" w:rsidRDefault="00FD64B5">
            <w:pPr>
              <w:rPr>
                <w:b/>
                <w:bCs/>
                <w:sz w:val="18"/>
                <w:szCs w:val="18"/>
              </w:rPr>
            </w:pPr>
          </w:p>
        </w:tc>
      </w:tr>
      <w:tr w:rsidR="00FD64B5" w14:paraId="7553F66D" w14:textId="77777777" w:rsidTr="00FD64B5">
        <w:trPr>
          <w:trHeight w:val="215"/>
        </w:trPr>
        <w:tc>
          <w:tcPr>
            <w:tcW w:w="8822" w:type="dxa"/>
            <w:gridSpan w:val="4"/>
            <w:tcBorders>
              <w:top w:val="single" w:sz="12" w:space="0" w:color="auto"/>
              <w:left w:val="nil"/>
              <w:bottom w:val="single" w:sz="4" w:space="0" w:color="auto"/>
              <w:right w:val="nil"/>
            </w:tcBorders>
            <w:vAlign w:val="center"/>
            <w:hideMark/>
          </w:tcPr>
          <w:p w14:paraId="5170F42B" w14:textId="77777777" w:rsidR="00FD64B5" w:rsidRDefault="00FD64B5">
            <w:pPr>
              <w:spacing w:after="100"/>
              <w:rPr>
                <w:b/>
                <w:bCs/>
                <w:sz w:val="18"/>
                <w:szCs w:val="18"/>
              </w:rPr>
            </w:pPr>
            <w:r>
              <w:rPr>
                <w:b/>
                <w:bCs/>
                <w:sz w:val="18"/>
                <w:szCs w:val="18"/>
              </w:rPr>
              <w:t>PARTY:</w:t>
            </w:r>
          </w:p>
        </w:tc>
      </w:tr>
      <w:tr w:rsidR="00FD64B5" w14:paraId="7324266D" w14:textId="77777777" w:rsidTr="00FD64B5">
        <w:tc>
          <w:tcPr>
            <w:tcW w:w="8822" w:type="dxa"/>
            <w:gridSpan w:val="4"/>
            <w:tcBorders>
              <w:top w:val="single" w:sz="4" w:space="0" w:color="auto"/>
              <w:left w:val="nil"/>
              <w:bottom w:val="single" w:sz="4" w:space="0" w:color="auto"/>
              <w:right w:val="nil"/>
            </w:tcBorders>
            <w:hideMark/>
          </w:tcPr>
          <w:p w14:paraId="3121A783" w14:textId="77777777" w:rsidR="00FD64B5" w:rsidRDefault="00FD64B5">
            <w:pPr>
              <w:spacing w:after="100"/>
              <w:rPr>
                <w:sz w:val="18"/>
                <w:szCs w:val="18"/>
              </w:rPr>
            </w:pPr>
            <w:r>
              <w:rPr>
                <w:sz w:val="18"/>
                <w:szCs w:val="18"/>
              </w:rPr>
              <w:t>The secretariat of the Minamata Convention is hereby notified of the registration of the following exemption pursuant to paragraph 1 of article 6 of the Convention. No exemption is required for products excluded from Annex A.</w:t>
            </w:r>
          </w:p>
        </w:tc>
      </w:tr>
      <w:tr w:rsidR="00FD64B5" w14:paraId="5D9AC448" w14:textId="77777777" w:rsidTr="00FD64B5">
        <w:trPr>
          <w:trHeight w:val="1430"/>
        </w:trPr>
        <w:tc>
          <w:tcPr>
            <w:tcW w:w="3686" w:type="dxa"/>
            <w:tcBorders>
              <w:top w:val="single" w:sz="4" w:space="0" w:color="auto"/>
              <w:left w:val="nil"/>
              <w:bottom w:val="single" w:sz="4" w:space="0" w:color="auto"/>
              <w:right w:val="nil"/>
            </w:tcBorders>
            <w:hideMark/>
          </w:tcPr>
          <w:p w14:paraId="4CE31BA2" w14:textId="77777777" w:rsidR="00FD64B5" w:rsidRDefault="00FD64B5">
            <w:pPr>
              <w:spacing w:after="120"/>
              <w:ind w:right="-198"/>
              <w:rPr>
                <w:sz w:val="18"/>
                <w:szCs w:val="18"/>
              </w:rPr>
            </w:pPr>
            <w:r>
              <w:rPr>
                <w:b/>
                <w:bCs/>
                <w:sz w:val="18"/>
                <w:szCs w:val="18"/>
              </w:rPr>
              <w:t>Mercury added products, as listed in part I of annex A</w:t>
            </w:r>
          </w:p>
        </w:tc>
        <w:tc>
          <w:tcPr>
            <w:tcW w:w="2692" w:type="dxa"/>
            <w:tcBorders>
              <w:top w:val="single" w:sz="4" w:space="0" w:color="auto"/>
              <w:left w:val="nil"/>
              <w:bottom w:val="single" w:sz="4" w:space="0" w:color="auto"/>
              <w:right w:val="nil"/>
            </w:tcBorders>
            <w:hideMark/>
          </w:tcPr>
          <w:p w14:paraId="3FA7EF64" w14:textId="77777777" w:rsidR="00FD64B5" w:rsidRDefault="00FD64B5">
            <w:pPr>
              <w:spacing w:after="120"/>
              <w:rPr>
                <w:sz w:val="18"/>
                <w:szCs w:val="18"/>
              </w:rPr>
            </w:pPr>
            <w:r>
              <w:rPr>
                <w:b/>
                <w:sz w:val="18"/>
                <w:szCs w:val="18"/>
              </w:rPr>
              <w:t>Indicate the category or subcategory for which the exemption is being registered, and whether it is for manufacture, import and/or export</w:t>
            </w:r>
          </w:p>
        </w:tc>
        <w:tc>
          <w:tcPr>
            <w:tcW w:w="2444" w:type="dxa"/>
            <w:gridSpan w:val="2"/>
            <w:tcBorders>
              <w:top w:val="single" w:sz="4" w:space="0" w:color="auto"/>
              <w:left w:val="nil"/>
              <w:bottom w:val="single" w:sz="4" w:space="0" w:color="auto"/>
              <w:right w:val="nil"/>
            </w:tcBorders>
            <w:hideMark/>
          </w:tcPr>
          <w:p w14:paraId="2897AB7E" w14:textId="77777777" w:rsidR="00FD64B5" w:rsidRDefault="00FD64B5">
            <w:pPr>
              <w:spacing w:after="120"/>
              <w:rPr>
                <w:b/>
                <w:bCs/>
                <w:sz w:val="18"/>
                <w:szCs w:val="18"/>
              </w:rPr>
            </w:pPr>
            <w:r>
              <w:rPr>
                <w:b/>
                <w:bCs/>
                <w:sz w:val="18"/>
                <w:szCs w:val="18"/>
              </w:rPr>
              <w:t xml:space="preserve">Duration of exemption </w:t>
            </w:r>
            <w:r>
              <w:rPr>
                <w:b/>
                <w:bCs/>
                <w:sz w:val="18"/>
                <w:szCs w:val="18"/>
              </w:rPr>
              <w:br/>
              <w:t>(if less than five years past the phase-out date)</w:t>
            </w:r>
          </w:p>
        </w:tc>
      </w:tr>
      <w:tr w:rsidR="00FD64B5" w14:paraId="7C9B400F" w14:textId="77777777" w:rsidTr="00FD64B5">
        <w:tc>
          <w:tcPr>
            <w:tcW w:w="3686" w:type="dxa"/>
            <w:tcBorders>
              <w:top w:val="single" w:sz="4" w:space="0" w:color="auto"/>
              <w:left w:val="nil"/>
              <w:bottom w:val="nil"/>
              <w:right w:val="nil"/>
            </w:tcBorders>
            <w:hideMark/>
          </w:tcPr>
          <w:p w14:paraId="1568F140" w14:textId="77777777" w:rsidR="00FD64B5" w:rsidRDefault="00FD64B5">
            <w:pPr>
              <w:snapToGrid w:val="0"/>
              <w:spacing w:after="120"/>
              <w:rPr>
                <w:rFonts w:eastAsia="SimSun"/>
                <w:sz w:val="18"/>
                <w:szCs w:val="18"/>
              </w:rPr>
            </w:pPr>
            <w:r>
              <w:rPr>
                <w:rFonts w:eastAsia="SimSun"/>
                <w:sz w:val="18"/>
                <w:szCs w:val="18"/>
              </w:rPr>
              <w:t>Batteries, except for button zinc silver oxide batteries with a mercury content &lt; 2% and button zinc air batteries with a mercury content &lt; 2%</w:t>
            </w:r>
          </w:p>
        </w:tc>
        <w:tc>
          <w:tcPr>
            <w:tcW w:w="2692" w:type="dxa"/>
            <w:tcBorders>
              <w:top w:val="single" w:sz="4" w:space="0" w:color="auto"/>
              <w:left w:val="nil"/>
              <w:bottom w:val="nil"/>
              <w:right w:val="nil"/>
            </w:tcBorders>
            <w:hideMark/>
          </w:tcPr>
          <w:p w14:paraId="75FBD7B9" w14:textId="77777777" w:rsidR="00FD64B5" w:rsidRDefault="00FD64B5">
            <w:pPr>
              <w:rPr>
                <w:rFonts w:eastAsia="SimSun"/>
                <w:sz w:val="18"/>
                <w:szCs w:val="18"/>
              </w:rPr>
            </w:pPr>
          </w:p>
        </w:tc>
        <w:tc>
          <w:tcPr>
            <w:tcW w:w="2444" w:type="dxa"/>
            <w:gridSpan w:val="2"/>
            <w:tcBorders>
              <w:top w:val="single" w:sz="4" w:space="0" w:color="auto"/>
              <w:left w:val="nil"/>
              <w:bottom w:val="nil"/>
              <w:right w:val="nil"/>
            </w:tcBorders>
            <w:hideMark/>
          </w:tcPr>
          <w:p w14:paraId="598FCC3E" w14:textId="77777777" w:rsidR="00FD64B5" w:rsidRDefault="00FD64B5">
            <w:pPr>
              <w:tabs>
                <w:tab w:val="left" w:pos="601"/>
                <w:tab w:val="left" w:pos="3011"/>
              </w:tabs>
              <w:spacing w:after="120"/>
              <w:ind w:left="-84" w:firstLine="84"/>
              <w:rPr>
                <w:sz w:val="18"/>
                <w:szCs w:val="18"/>
              </w:rPr>
            </w:pPr>
            <w:r>
              <w:rPr>
                <w:sz w:val="18"/>
                <w:szCs w:val="18"/>
              </w:rPr>
              <w:t xml:space="preserve"> </w:t>
            </w:r>
          </w:p>
        </w:tc>
      </w:tr>
      <w:tr w:rsidR="00FD64B5" w14:paraId="06259BCE" w14:textId="77777777" w:rsidTr="00FD64B5">
        <w:tc>
          <w:tcPr>
            <w:tcW w:w="3686" w:type="dxa"/>
            <w:hideMark/>
          </w:tcPr>
          <w:p w14:paraId="6AF581F9" w14:textId="77777777" w:rsidR="00FD64B5" w:rsidRDefault="00FD64B5">
            <w:pPr>
              <w:snapToGrid w:val="0"/>
              <w:spacing w:after="120"/>
              <w:rPr>
                <w:rFonts w:eastAsia="SimSun"/>
                <w:sz w:val="18"/>
                <w:szCs w:val="18"/>
              </w:rPr>
            </w:pPr>
            <w:r>
              <w:rPr>
                <w:rFonts w:eastAsia="SimSun"/>
                <w:sz w:val="18"/>
                <w:szCs w:val="18"/>
              </w:rPr>
              <w:t>Switches and relays, except very high accuracy capacitance and loss measurement bridges and high frequency radio frequency switches and relays in monitoring and control instruments with a maximum mercury content of 20 mg per bridge, switch or relay</w:t>
            </w:r>
          </w:p>
        </w:tc>
        <w:tc>
          <w:tcPr>
            <w:tcW w:w="2692" w:type="dxa"/>
            <w:hideMark/>
          </w:tcPr>
          <w:p w14:paraId="6788177A" w14:textId="77777777" w:rsidR="00FD64B5" w:rsidRDefault="00FD64B5">
            <w:pPr>
              <w:rPr>
                <w:rFonts w:eastAsia="SimSun"/>
                <w:sz w:val="18"/>
                <w:szCs w:val="18"/>
              </w:rPr>
            </w:pPr>
          </w:p>
        </w:tc>
        <w:tc>
          <w:tcPr>
            <w:tcW w:w="2444" w:type="dxa"/>
            <w:gridSpan w:val="2"/>
          </w:tcPr>
          <w:p w14:paraId="6AF9A46B" w14:textId="77777777" w:rsidR="00FD64B5" w:rsidRDefault="00FD64B5">
            <w:pPr>
              <w:tabs>
                <w:tab w:val="left" w:pos="601"/>
                <w:tab w:val="left" w:pos="3011"/>
              </w:tabs>
              <w:spacing w:after="120"/>
              <w:ind w:left="-84" w:firstLine="84"/>
              <w:rPr>
                <w:sz w:val="18"/>
                <w:szCs w:val="18"/>
              </w:rPr>
            </w:pPr>
          </w:p>
        </w:tc>
      </w:tr>
      <w:tr w:rsidR="00FD64B5" w14:paraId="510C4315" w14:textId="77777777" w:rsidTr="00FD64B5">
        <w:tc>
          <w:tcPr>
            <w:tcW w:w="3686" w:type="dxa"/>
            <w:hideMark/>
          </w:tcPr>
          <w:p w14:paraId="6BD6D5EC" w14:textId="77777777" w:rsidR="00FD64B5" w:rsidRDefault="00FD64B5">
            <w:pPr>
              <w:snapToGrid w:val="0"/>
              <w:spacing w:after="120"/>
              <w:rPr>
                <w:rFonts w:eastAsia="SimSun"/>
                <w:sz w:val="18"/>
                <w:szCs w:val="18"/>
              </w:rPr>
            </w:pPr>
            <w:r>
              <w:rPr>
                <w:rFonts w:eastAsia="SimSun"/>
                <w:sz w:val="18"/>
                <w:szCs w:val="18"/>
              </w:rPr>
              <w:t>Compact fluorescent lamps (CFLs) for general lighting purposes that are ≤ 30 watts with a mercury content exceeding 5 mg per lamp burner</w:t>
            </w:r>
          </w:p>
        </w:tc>
        <w:tc>
          <w:tcPr>
            <w:tcW w:w="2692" w:type="dxa"/>
            <w:hideMark/>
          </w:tcPr>
          <w:p w14:paraId="2BD99F65" w14:textId="77777777" w:rsidR="00FD64B5" w:rsidRDefault="00FD64B5">
            <w:pPr>
              <w:rPr>
                <w:rFonts w:eastAsia="SimSun"/>
                <w:sz w:val="18"/>
                <w:szCs w:val="18"/>
              </w:rPr>
            </w:pPr>
          </w:p>
        </w:tc>
        <w:tc>
          <w:tcPr>
            <w:tcW w:w="2444" w:type="dxa"/>
            <w:gridSpan w:val="2"/>
          </w:tcPr>
          <w:p w14:paraId="56C4A574" w14:textId="77777777" w:rsidR="00FD64B5" w:rsidRDefault="00FD64B5">
            <w:pPr>
              <w:tabs>
                <w:tab w:val="left" w:pos="601"/>
                <w:tab w:val="left" w:pos="3011"/>
              </w:tabs>
              <w:spacing w:after="120"/>
              <w:ind w:left="-84" w:firstLine="84"/>
              <w:rPr>
                <w:sz w:val="18"/>
                <w:szCs w:val="18"/>
              </w:rPr>
            </w:pPr>
          </w:p>
        </w:tc>
      </w:tr>
      <w:tr w:rsidR="00FD64B5" w14:paraId="2026345D" w14:textId="77777777" w:rsidTr="00FD64B5">
        <w:tc>
          <w:tcPr>
            <w:tcW w:w="3686" w:type="dxa"/>
            <w:hideMark/>
          </w:tcPr>
          <w:p w14:paraId="5E7664B4" w14:textId="77777777" w:rsidR="00FD64B5" w:rsidRDefault="00FD64B5">
            <w:pPr>
              <w:snapToGrid w:val="0"/>
              <w:spacing w:after="60"/>
              <w:rPr>
                <w:rFonts w:eastAsia="SimSun"/>
                <w:sz w:val="18"/>
                <w:szCs w:val="18"/>
              </w:rPr>
            </w:pPr>
            <w:r>
              <w:rPr>
                <w:rFonts w:eastAsia="SimSun"/>
                <w:sz w:val="18"/>
                <w:szCs w:val="18"/>
              </w:rPr>
              <w:t>Linear fluorescent lamps (LFLs) for general lighting purposes:</w:t>
            </w:r>
          </w:p>
          <w:p w14:paraId="7F0232B1" w14:textId="77777777" w:rsidR="00FD64B5" w:rsidRDefault="00FD64B5">
            <w:pPr>
              <w:tabs>
                <w:tab w:val="left" w:pos="946"/>
              </w:tabs>
              <w:suppressAutoHyphens/>
              <w:spacing w:after="60"/>
              <w:rPr>
                <w:rFonts w:eastAsia="SimSun"/>
                <w:sz w:val="18"/>
                <w:szCs w:val="18"/>
              </w:rPr>
            </w:pPr>
            <w:r>
              <w:rPr>
                <w:rFonts w:eastAsia="SimSun"/>
                <w:sz w:val="18"/>
                <w:szCs w:val="18"/>
              </w:rPr>
              <w:t>(a) Triband phosphor &lt; 60 watts with a mercury content exceeding 5 mg per lamp;</w:t>
            </w:r>
          </w:p>
          <w:p w14:paraId="125FA052" w14:textId="77777777" w:rsidR="00FD64B5" w:rsidRDefault="00FD64B5">
            <w:pPr>
              <w:tabs>
                <w:tab w:val="left" w:pos="946"/>
              </w:tabs>
              <w:suppressAutoHyphens/>
              <w:spacing w:after="60"/>
              <w:rPr>
                <w:rFonts w:eastAsia="SimSun"/>
                <w:sz w:val="18"/>
                <w:szCs w:val="18"/>
              </w:rPr>
            </w:pPr>
            <w:r>
              <w:rPr>
                <w:rFonts w:eastAsia="SimSun"/>
                <w:sz w:val="18"/>
                <w:szCs w:val="18"/>
              </w:rPr>
              <w:t>(b) Halophosphate phosphor ≤ 40 watts with a mercury content exceeding 10 mg per lamp</w:t>
            </w:r>
          </w:p>
        </w:tc>
        <w:tc>
          <w:tcPr>
            <w:tcW w:w="2692" w:type="dxa"/>
            <w:hideMark/>
          </w:tcPr>
          <w:p w14:paraId="7996328B" w14:textId="77777777" w:rsidR="00FD64B5" w:rsidRDefault="00FD64B5">
            <w:pPr>
              <w:rPr>
                <w:rFonts w:eastAsia="SimSun"/>
                <w:sz w:val="18"/>
                <w:szCs w:val="18"/>
              </w:rPr>
            </w:pPr>
          </w:p>
        </w:tc>
        <w:tc>
          <w:tcPr>
            <w:tcW w:w="2444" w:type="dxa"/>
            <w:gridSpan w:val="2"/>
          </w:tcPr>
          <w:p w14:paraId="121DE6A6" w14:textId="77777777" w:rsidR="00FD64B5" w:rsidRDefault="00FD64B5">
            <w:pPr>
              <w:tabs>
                <w:tab w:val="left" w:pos="601"/>
                <w:tab w:val="left" w:pos="3011"/>
              </w:tabs>
              <w:ind w:left="-84" w:firstLine="84"/>
              <w:rPr>
                <w:sz w:val="18"/>
                <w:szCs w:val="18"/>
              </w:rPr>
            </w:pPr>
          </w:p>
        </w:tc>
      </w:tr>
      <w:tr w:rsidR="00FD64B5" w14:paraId="7FE0DE5B" w14:textId="77777777" w:rsidTr="00FD64B5">
        <w:tc>
          <w:tcPr>
            <w:tcW w:w="3686" w:type="dxa"/>
            <w:hideMark/>
          </w:tcPr>
          <w:p w14:paraId="74B3A741" w14:textId="77777777" w:rsidR="00FD64B5" w:rsidRDefault="00FD64B5">
            <w:pPr>
              <w:snapToGrid w:val="0"/>
              <w:spacing w:after="120"/>
              <w:rPr>
                <w:rFonts w:eastAsia="SimSun"/>
                <w:sz w:val="18"/>
                <w:szCs w:val="18"/>
              </w:rPr>
            </w:pPr>
            <w:r>
              <w:rPr>
                <w:rFonts w:eastAsia="SimSun"/>
                <w:sz w:val="18"/>
                <w:szCs w:val="18"/>
              </w:rPr>
              <w:t>High pressure mercury vapour lamps (HPMV) for general lighting purposes</w:t>
            </w:r>
          </w:p>
        </w:tc>
        <w:tc>
          <w:tcPr>
            <w:tcW w:w="2692" w:type="dxa"/>
            <w:hideMark/>
          </w:tcPr>
          <w:p w14:paraId="2B244FCB" w14:textId="77777777" w:rsidR="00FD64B5" w:rsidRDefault="00FD64B5">
            <w:pPr>
              <w:rPr>
                <w:rFonts w:eastAsia="SimSun"/>
                <w:sz w:val="18"/>
                <w:szCs w:val="18"/>
              </w:rPr>
            </w:pPr>
          </w:p>
        </w:tc>
        <w:tc>
          <w:tcPr>
            <w:tcW w:w="2444" w:type="dxa"/>
            <w:gridSpan w:val="2"/>
          </w:tcPr>
          <w:p w14:paraId="2B15D6DE" w14:textId="77777777" w:rsidR="00FD64B5" w:rsidRDefault="00FD64B5">
            <w:pPr>
              <w:tabs>
                <w:tab w:val="left" w:pos="601"/>
                <w:tab w:val="left" w:pos="3011"/>
              </w:tabs>
              <w:ind w:left="-84" w:firstLine="84"/>
              <w:rPr>
                <w:sz w:val="18"/>
                <w:szCs w:val="18"/>
              </w:rPr>
            </w:pPr>
          </w:p>
        </w:tc>
      </w:tr>
      <w:tr w:rsidR="00FD64B5" w14:paraId="140E8E42" w14:textId="77777777" w:rsidTr="00FD64B5">
        <w:tc>
          <w:tcPr>
            <w:tcW w:w="3686" w:type="dxa"/>
            <w:hideMark/>
          </w:tcPr>
          <w:p w14:paraId="70BF55D9" w14:textId="77777777" w:rsidR="00FD64B5" w:rsidRDefault="00FD64B5">
            <w:pPr>
              <w:snapToGrid w:val="0"/>
              <w:spacing w:after="60"/>
              <w:rPr>
                <w:rFonts w:eastAsia="SimSun"/>
                <w:sz w:val="18"/>
                <w:szCs w:val="18"/>
              </w:rPr>
            </w:pPr>
            <w:r>
              <w:rPr>
                <w:rFonts w:eastAsia="SimSun"/>
                <w:sz w:val="18"/>
                <w:szCs w:val="18"/>
              </w:rPr>
              <w:t xml:space="preserve">Mercury in cold cathode fluorescent lamps and external electrode fluorescent lamps (CCFL and EEFL) for electronic displays: </w:t>
            </w:r>
          </w:p>
          <w:p w14:paraId="774D4B5B" w14:textId="77777777" w:rsidR="00FD64B5" w:rsidRDefault="00FD64B5">
            <w:pPr>
              <w:spacing w:after="60"/>
              <w:rPr>
                <w:rFonts w:eastAsia="SimSun"/>
                <w:sz w:val="18"/>
                <w:szCs w:val="18"/>
              </w:rPr>
            </w:pPr>
            <w:r>
              <w:rPr>
                <w:rFonts w:eastAsia="SimSun"/>
                <w:sz w:val="18"/>
                <w:szCs w:val="18"/>
              </w:rPr>
              <w:t>(a) Short length (≤ 500 mm) with mercury content exceeding 3.5 mg per lamp</w:t>
            </w:r>
          </w:p>
          <w:p w14:paraId="6B50E70E" w14:textId="77777777" w:rsidR="00FD64B5" w:rsidRDefault="00FD64B5">
            <w:pPr>
              <w:spacing w:after="60"/>
              <w:rPr>
                <w:rFonts w:eastAsia="SimSun"/>
                <w:sz w:val="18"/>
                <w:szCs w:val="18"/>
              </w:rPr>
            </w:pPr>
            <w:r>
              <w:rPr>
                <w:rFonts w:eastAsia="SimSun"/>
                <w:sz w:val="18"/>
                <w:szCs w:val="18"/>
              </w:rPr>
              <w:t>(b) Medium length (&gt; 500 mm and ≤ 1,500 mm) with mercury content exceeding 5 mg per lamp</w:t>
            </w:r>
          </w:p>
          <w:p w14:paraId="19BCEDD0" w14:textId="77777777" w:rsidR="00FD64B5" w:rsidRDefault="00FD64B5">
            <w:pPr>
              <w:spacing w:after="60"/>
              <w:rPr>
                <w:rFonts w:eastAsia="SimSun"/>
                <w:sz w:val="18"/>
                <w:szCs w:val="18"/>
              </w:rPr>
            </w:pPr>
            <w:r>
              <w:rPr>
                <w:rFonts w:eastAsia="SimSun"/>
                <w:sz w:val="18"/>
                <w:szCs w:val="18"/>
              </w:rPr>
              <w:t>(c) Long length (&gt; 1,500 mm) with mercury content exceeding 13 mg per lamp</w:t>
            </w:r>
          </w:p>
        </w:tc>
        <w:tc>
          <w:tcPr>
            <w:tcW w:w="2692" w:type="dxa"/>
            <w:hideMark/>
          </w:tcPr>
          <w:p w14:paraId="7FFC036C" w14:textId="77777777" w:rsidR="00FD64B5" w:rsidRDefault="00FD64B5">
            <w:pPr>
              <w:rPr>
                <w:rFonts w:eastAsia="SimSun"/>
                <w:sz w:val="18"/>
                <w:szCs w:val="18"/>
              </w:rPr>
            </w:pPr>
          </w:p>
        </w:tc>
        <w:tc>
          <w:tcPr>
            <w:tcW w:w="2444" w:type="dxa"/>
            <w:gridSpan w:val="2"/>
          </w:tcPr>
          <w:p w14:paraId="021C55A7" w14:textId="77777777" w:rsidR="00FD64B5" w:rsidRDefault="00FD64B5">
            <w:pPr>
              <w:tabs>
                <w:tab w:val="left" w:pos="601"/>
                <w:tab w:val="left" w:pos="3011"/>
              </w:tabs>
              <w:ind w:left="-84" w:firstLine="84"/>
              <w:rPr>
                <w:sz w:val="18"/>
                <w:szCs w:val="18"/>
              </w:rPr>
            </w:pPr>
          </w:p>
        </w:tc>
      </w:tr>
      <w:tr w:rsidR="00FD64B5" w14:paraId="1A2D23E0" w14:textId="77777777" w:rsidTr="00FD64B5">
        <w:tc>
          <w:tcPr>
            <w:tcW w:w="3686" w:type="dxa"/>
            <w:hideMark/>
          </w:tcPr>
          <w:p w14:paraId="0D74425D" w14:textId="77777777" w:rsidR="00FD64B5" w:rsidRDefault="00FD64B5">
            <w:pPr>
              <w:keepNext/>
              <w:keepLines/>
              <w:snapToGrid w:val="0"/>
              <w:spacing w:after="120"/>
              <w:rPr>
                <w:rFonts w:eastAsia="SimSun"/>
                <w:sz w:val="18"/>
                <w:szCs w:val="18"/>
              </w:rPr>
            </w:pPr>
            <w:r>
              <w:rPr>
                <w:rFonts w:eastAsia="SimSun"/>
                <w:sz w:val="18"/>
                <w:szCs w:val="18"/>
              </w:rPr>
              <w:lastRenderedPageBreak/>
              <w:t>Cosmetics (with mercury content above 1ppm), including skin lightening soaps and creams, and not including eye area cosmetics where mercury is used as a preservative and no effective and safe substitute preservatives are available</w:t>
            </w:r>
            <w:r>
              <w:rPr>
                <w:rStyle w:val="FootnoteReference"/>
                <w:rFonts w:eastAsia="SimSun"/>
                <w:sz w:val="18"/>
              </w:rPr>
              <w:footnoteReference w:id="2"/>
            </w:r>
          </w:p>
        </w:tc>
        <w:tc>
          <w:tcPr>
            <w:tcW w:w="2692" w:type="dxa"/>
            <w:hideMark/>
          </w:tcPr>
          <w:p w14:paraId="40229FBC" w14:textId="77777777" w:rsidR="00FD64B5" w:rsidRDefault="00FD64B5">
            <w:pPr>
              <w:rPr>
                <w:rFonts w:eastAsia="SimSun"/>
                <w:sz w:val="18"/>
                <w:szCs w:val="18"/>
              </w:rPr>
            </w:pPr>
          </w:p>
        </w:tc>
        <w:tc>
          <w:tcPr>
            <w:tcW w:w="2444" w:type="dxa"/>
            <w:gridSpan w:val="2"/>
          </w:tcPr>
          <w:p w14:paraId="0B56C0BF" w14:textId="77777777" w:rsidR="00FD64B5" w:rsidRDefault="00FD64B5">
            <w:pPr>
              <w:tabs>
                <w:tab w:val="left" w:pos="601"/>
                <w:tab w:val="left" w:pos="3011"/>
              </w:tabs>
              <w:ind w:left="-84" w:firstLine="84"/>
              <w:rPr>
                <w:sz w:val="18"/>
                <w:szCs w:val="18"/>
              </w:rPr>
            </w:pPr>
          </w:p>
        </w:tc>
      </w:tr>
      <w:tr w:rsidR="00FD64B5" w14:paraId="047698E4" w14:textId="77777777" w:rsidTr="00FD64B5">
        <w:tc>
          <w:tcPr>
            <w:tcW w:w="3686" w:type="dxa"/>
            <w:vAlign w:val="center"/>
            <w:hideMark/>
          </w:tcPr>
          <w:p w14:paraId="50C5FC99" w14:textId="77777777" w:rsidR="00FD64B5" w:rsidRDefault="00FD64B5">
            <w:pPr>
              <w:snapToGrid w:val="0"/>
              <w:spacing w:after="120"/>
              <w:rPr>
                <w:rFonts w:eastAsia="SimSun"/>
                <w:sz w:val="18"/>
                <w:szCs w:val="18"/>
              </w:rPr>
            </w:pPr>
            <w:r>
              <w:rPr>
                <w:rFonts w:eastAsia="SimSun"/>
                <w:sz w:val="18"/>
                <w:szCs w:val="18"/>
              </w:rPr>
              <w:t>Pesticides, biocides and topical antiseptics</w:t>
            </w:r>
          </w:p>
        </w:tc>
        <w:tc>
          <w:tcPr>
            <w:tcW w:w="2692" w:type="dxa"/>
            <w:hideMark/>
          </w:tcPr>
          <w:p w14:paraId="56786A93" w14:textId="77777777" w:rsidR="00FD64B5" w:rsidRDefault="00FD64B5">
            <w:pPr>
              <w:rPr>
                <w:rFonts w:eastAsia="SimSun"/>
                <w:sz w:val="18"/>
                <w:szCs w:val="18"/>
              </w:rPr>
            </w:pPr>
          </w:p>
        </w:tc>
        <w:tc>
          <w:tcPr>
            <w:tcW w:w="2444" w:type="dxa"/>
            <w:gridSpan w:val="2"/>
          </w:tcPr>
          <w:p w14:paraId="649D5FF1" w14:textId="77777777" w:rsidR="00FD64B5" w:rsidRDefault="00FD64B5">
            <w:pPr>
              <w:tabs>
                <w:tab w:val="left" w:pos="601"/>
                <w:tab w:val="left" w:pos="3011"/>
              </w:tabs>
              <w:ind w:left="-84" w:firstLine="84"/>
              <w:rPr>
                <w:sz w:val="18"/>
                <w:szCs w:val="18"/>
              </w:rPr>
            </w:pPr>
          </w:p>
        </w:tc>
      </w:tr>
      <w:tr w:rsidR="00FD64B5" w14:paraId="08618D00" w14:textId="77777777" w:rsidTr="00FD64B5">
        <w:tc>
          <w:tcPr>
            <w:tcW w:w="3686" w:type="dxa"/>
            <w:hideMark/>
          </w:tcPr>
          <w:p w14:paraId="54D40B5D" w14:textId="77777777" w:rsidR="00FD64B5" w:rsidRDefault="00FD64B5">
            <w:pPr>
              <w:keepNext/>
              <w:keepLines/>
              <w:snapToGrid w:val="0"/>
              <w:spacing w:after="60"/>
              <w:rPr>
                <w:rFonts w:eastAsia="SimSun"/>
                <w:strike/>
                <w:sz w:val="18"/>
                <w:szCs w:val="18"/>
              </w:rPr>
            </w:pPr>
            <w:r>
              <w:rPr>
                <w:rFonts w:eastAsia="SimSun"/>
                <w:sz w:val="18"/>
                <w:szCs w:val="18"/>
              </w:rPr>
              <w:t xml:space="preserve">The following non-electronic measuring devices except non-electronic measuring devices installed in large-scale equipment or those used for high-precision measurement, where no suitable mercury-free alternative is available: </w:t>
            </w:r>
          </w:p>
          <w:p w14:paraId="65C4D2E3" w14:textId="77777777" w:rsidR="00FD64B5" w:rsidRDefault="00FD64B5">
            <w:pPr>
              <w:keepNext/>
              <w:keepLines/>
              <w:spacing w:after="60"/>
              <w:rPr>
                <w:rFonts w:eastAsia="SimSun"/>
                <w:sz w:val="18"/>
                <w:szCs w:val="18"/>
              </w:rPr>
            </w:pPr>
            <w:r>
              <w:rPr>
                <w:rFonts w:eastAsia="SimSun"/>
                <w:sz w:val="18"/>
                <w:szCs w:val="18"/>
              </w:rPr>
              <w:t xml:space="preserve">(a) Barometers; </w:t>
            </w:r>
          </w:p>
          <w:p w14:paraId="4ADB4214" w14:textId="77777777" w:rsidR="00FD64B5" w:rsidRDefault="00FD64B5">
            <w:pPr>
              <w:keepNext/>
              <w:keepLines/>
              <w:spacing w:after="60"/>
              <w:rPr>
                <w:rFonts w:eastAsia="SimSun"/>
                <w:sz w:val="18"/>
                <w:szCs w:val="18"/>
              </w:rPr>
            </w:pPr>
            <w:r>
              <w:rPr>
                <w:rFonts w:eastAsia="SimSun"/>
                <w:sz w:val="18"/>
                <w:szCs w:val="18"/>
              </w:rPr>
              <w:t xml:space="preserve">(b) Hygrometers; </w:t>
            </w:r>
          </w:p>
          <w:p w14:paraId="5882DD85" w14:textId="77777777" w:rsidR="00FD64B5" w:rsidRDefault="00FD64B5">
            <w:pPr>
              <w:keepNext/>
              <w:keepLines/>
              <w:spacing w:after="60"/>
              <w:rPr>
                <w:rFonts w:eastAsia="SimSun"/>
                <w:sz w:val="18"/>
                <w:szCs w:val="18"/>
              </w:rPr>
            </w:pPr>
            <w:r>
              <w:rPr>
                <w:rFonts w:eastAsia="SimSun"/>
                <w:sz w:val="18"/>
                <w:szCs w:val="18"/>
              </w:rPr>
              <w:t xml:space="preserve">(c) Manometers; </w:t>
            </w:r>
          </w:p>
          <w:p w14:paraId="2F791281" w14:textId="77777777" w:rsidR="00FD64B5" w:rsidRDefault="00FD64B5">
            <w:pPr>
              <w:keepNext/>
              <w:keepLines/>
              <w:spacing w:after="60"/>
              <w:rPr>
                <w:rFonts w:eastAsia="SimSun"/>
                <w:sz w:val="18"/>
                <w:szCs w:val="18"/>
              </w:rPr>
            </w:pPr>
            <w:r>
              <w:rPr>
                <w:rFonts w:eastAsia="SimSun"/>
                <w:sz w:val="18"/>
                <w:szCs w:val="18"/>
              </w:rPr>
              <w:t>(d) Thermometers;</w:t>
            </w:r>
          </w:p>
          <w:p w14:paraId="52C7BAE0" w14:textId="77777777" w:rsidR="00FD64B5" w:rsidRDefault="00FD64B5">
            <w:pPr>
              <w:keepNext/>
              <w:keepLines/>
              <w:spacing w:after="60"/>
              <w:rPr>
                <w:rFonts w:eastAsia="SimSun"/>
                <w:sz w:val="18"/>
                <w:szCs w:val="18"/>
              </w:rPr>
            </w:pPr>
            <w:r>
              <w:rPr>
                <w:rFonts w:eastAsia="SimSun"/>
                <w:sz w:val="18"/>
                <w:szCs w:val="18"/>
              </w:rPr>
              <w:t>(e) Sphygmomanometers.</w:t>
            </w:r>
          </w:p>
        </w:tc>
        <w:tc>
          <w:tcPr>
            <w:tcW w:w="2692" w:type="dxa"/>
            <w:hideMark/>
          </w:tcPr>
          <w:p w14:paraId="5358FF50" w14:textId="77777777" w:rsidR="00FD64B5" w:rsidRDefault="00FD64B5">
            <w:pPr>
              <w:rPr>
                <w:rFonts w:eastAsia="SimSun"/>
                <w:sz w:val="18"/>
                <w:szCs w:val="18"/>
              </w:rPr>
            </w:pPr>
          </w:p>
        </w:tc>
        <w:tc>
          <w:tcPr>
            <w:tcW w:w="2444" w:type="dxa"/>
            <w:gridSpan w:val="2"/>
          </w:tcPr>
          <w:p w14:paraId="18477509" w14:textId="77777777" w:rsidR="00FD64B5" w:rsidRDefault="00FD64B5">
            <w:pPr>
              <w:keepNext/>
              <w:keepLines/>
              <w:tabs>
                <w:tab w:val="left" w:pos="601"/>
                <w:tab w:val="left" w:pos="3011"/>
              </w:tabs>
              <w:ind w:left="-84" w:firstLine="84"/>
              <w:rPr>
                <w:sz w:val="18"/>
                <w:szCs w:val="18"/>
              </w:rPr>
            </w:pPr>
          </w:p>
        </w:tc>
      </w:tr>
      <w:tr w:rsidR="00FD64B5" w14:paraId="4697D5C4" w14:textId="77777777" w:rsidTr="00FD64B5">
        <w:tc>
          <w:tcPr>
            <w:tcW w:w="8822" w:type="dxa"/>
            <w:gridSpan w:val="4"/>
            <w:hideMark/>
          </w:tcPr>
          <w:p w14:paraId="216AEB5B" w14:textId="77777777" w:rsidR="00FD64B5" w:rsidRDefault="00FD64B5">
            <w:pPr>
              <w:pStyle w:val="Normalnumber"/>
              <w:numPr>
                <w:ilvl w:val="0"/>
                <w:numId w:val="0"/>
              </w:numPr>
              <w:spacing w:after="60"/>
              <w:rPr>
                <w:sz w:val="18"/>
                <w:szCs w:val="18"/>
              </w:rPr>
            </w:pPr>
            <w:r>
              <w:rPr>
                <w:sz w:val="18"/>
                <w:szCs w:val="18"/>
              </w:rPr>
              <w:t>Please attach the explanatory statement on the need for an exemption, one statement per individual product category listed in part I of annex A.</w:t>
            </w:r>
          </w:p>
          <w:p w14:paraId="1DD3B7EF" w14:textId="77777777" w:rsidR="00FD64B5" w:rsidRDefault="00FD64B5">
            <w:pPr>
              <w:pStyle w:val="Normalnumber"/>
              <w:numPr>
                <w:ilvl w:val="0"/>
                <w:numId w:val="0"/>
              </w:numPr>
              <w:tabs>
                <w:tab w:val="left" w:pos="0"/>
              </w:tabs>
              <w:spacing w:after="60"/>
              <w:jc w:val="both"/>
              <w:rPr>
                <w:sz w:val="18"/>
                <w:szCs w:val="18"/>
              </w:rPr>
            </w:pPr>
            <w:r>
              <w:rPr>
                <w:sz w:val="18"/>
                <w:szCs w:val="18"/>
              </w:rPr>
              <w:t xml:space="preserve">As part of, or in addition to, the explanation of the need for the exemption, a registering Party may include, as appropriate, the following information: </w:t>
            </w:r>
          </w:p>
          <w:p w14:paraId="5E44164D" w14:textId="77777777" w:rsidR="00FD64B5" w:rsidRDefault="00FD64B5" w:rsidP="003C33E1">
            <w:pPr>
              <w:pStyle w:val="Normalnumber"/>
              <w:numPr>
                <w:ilvl w:val="0"/>
                <w:numId w:val="14"/>
              </w:numPr>
              <w:tabs>
                <w:tab w:val="clear" w:pos="1247"/>
              </w:tabs>
              <w:spacing w:after="60"/>
              <w:ind w:left="1248" w:hanging="624"/>
              <w:jc w:val="both"/>
              <w:rPr>
                <w:sz w:val="18"/>
                <w:szCs w:val="18"/>
              </w:rPr>
            </w:pPr>
            <w:r>
              <w:rPr>
                <w:sz w:val="18"/>
                <w:szCs w:val="18"/>
              </w:rPr>
              <w:t xml:space="preserve">Any timetable or plan of action to phase out the import, export, or manufacture or to adjust manufacturing specifications to comply with the mercury concentrations for products set out in Annex A; </w:t>
            </w:r>
          </w:p>
          <w:p w14:paraId="751876F0" w14:textId="77777777" w:rsidR="00FD64B5" w:rsidRDefault="00FD64B5" w:rsidP="003C33E1">
            <w:pPr>
              <w:pStyle w:val="Normalnumber"/>
              <w:numPr>
                <w:ilvl w:val="0"/>
                <w:numId w:val="14"/>
              </w:numPr>
              <w:tabs>
                <w:tab w:val="clear" w:pos="1247"/>
              </w:tabs>
              <w:ind w:left="1248" w:hanging="624"/>
              <w:jc w:val="both"/>
              <w:rPr>
                <w:i/>
                <w:iCs/>
                <w:sz w:val="18"/>
                <w:szCs w:val="18"/>
              </w:rPr>
            </w:pPr>
            <w:r>
              <w:rPr>
                <w:sz w:val="18"/>
                <w:szCs w:val="18"/>
              </w:rPr>
              <w:t>Information on the level of stocks of the product available nationally.</w:t>
            </w:r>
          </w:p>
        </w:tc>
      </w:tr>
      <w:tr w:rsidR="00FD64B5" w:rsidRPr="00FD64B5" w14:paraId="201474A3" w14:textId="77777777" w:rsidTr="00FD64B5">
        <w:tc>
          <w:tcPr>
            <w:tcW w:w="8822" w:type="dxa"/>
            <w:gridSpan w:val="4"/>
            <w:hideMark/>
          </w:tcPr>
          <w:tbl>
            <w:tblPr>
              <w:tblW w:w="8550" w:type="dxa"/>
              <w:tblInd w:w="118" w:type="dxa"/>
              <w:tblLayout w:type="fixed"/>
              <w:tblLook w:val="01E0" w:firstRow="1" w:lastRow="1" w:firstColumn="1" w:lastColumn="1" w:noHBand="0" w:noVBand="0"/>
            </w:tblPr>
            <w:tblGrid>
              <w:gridCol w:w="1919"/>
              <w:gridCol w:w="1841"/>
              <w:gridCol w:w="567"/>
              <w:gridCol w:w="1985"/>
              <w:gridCol w:w="820"/>
              <w:gridCol w:w="1418"/>
            </w:tblGrid>
            <w:tr w:rsidR="00FD64B5" w14:paraId="77C41790" w14:textId="77777777">
              <w:trPr>
                <w:trHeight w:val="427"/>
              </w:trPr>
              <w:tc>
                <w:tcPr>
                  <w:tcW w:w="6312" w:type="dxa"/>
                  <w:gridSpan w:val="4"/>
                  <w:tcBorders>
                    <w:top w:val="single" w:sz="12" w:space="0" w:color="auto"/>
                    <w:left w:val="nil"/>
                    <w:bottom w:val="single" w:sz="12" w:space="0" w:color="auto"/>
                    <w:right w:val="nil"/>
                  </w:tcBorders>
                  <w:vAlign w:val="center"/>
                  <w:hideMark/>
                </w:tcPr>
                <w:p w14:paraId="49F08E5A" w14:textId="77777777" w:rsidR="00FD64B5" w:rsidRDefault="00FD64B5">
                  <w:pPr>
                    <w:rPr>
                      <w:sz w:val="18"/>
                      <w:szCs w:val="18"/>
                    </w:rPr>
                  </w:pPr>
                  <w:r>
                    <w:rPr>
                      <w:b/>
                      <w:bCs/>
                      <w:sz w:val="18"/>
                      <w:szCs w:val="18"/>
                    </w:rPr>
                    <w:t>THIS NOTIFICATION IS SUBMITTED BY:</w:t>
                  </w:r>
                </w:p>
              </w:tc>
              <w:tc>
                <w:tcPr>
                  <w:tcW w:w="2238" w:type="dxa"/>
                  <w:gridSpan w:val="2"/>
                  <w:tcBorders>
                    <w:top w:val="single" w:sz="12" w:space="0" w:color="auto"/>
                    <w:left w:val="nil"/>
                    <w:bottom w:val="single" w:sz="12" w:space="0" w:color="auto"/>
                    <w:right w:val="nil"/>
                  </w:tcBorders>
                </w:tcPr>
                <w:p w14:paraId="2C91FDD8" w14:textId="77777777" w:rsidR="00FD64B5" w:rsidRDefault="00FD64B5">
                  <w:pPr>
                    <w:rPr>
                      <w:b/>
                      <w:bCs/>
                      <w:sz w:val="18"/>
                      <w:szCs w:val="18"/>
                    </w:rPr>
                  </w:pPr>
                </w:p>
              </w:tc>
            </w:tr>
            <w:tr w:rsidR="00FD64B5" w14:paraId="2C8CEB3A" w14:textId="77777777">
              <w:tc>
                <w:tcPr>
                  <w:tcW w:w="1919" w:type="dxa"/>
                  <w:tcBorders>
                    <w:top w:val="single" w:sz="12" w:space="0" w:color="auto"/>
                    <w:left w:val="nil"/>
                    <w:bottom w:val="nil"/>
                    <w:right w:val="nil"/>
                  </w:tcBorders>
                  <w:hideMark/>
                </w:tcPr>
                <w:p w14:paraId="38C8F62F" w14:textId="77777777" w:rsidR="00FD64B5" w:rsidRDefault="00FD64B5">
                  <w:pPr>
                    <w:rPr>
                      <w:sz w:val="18"/>
                      <w:szCs w:val="18"/>
                    </w:rPr>
                  </w:pPr>
                  <w:r>
                    <w:rPr>
                      <w:sz w:val="18"/>
                      <w:szCs w:val="18"/>
                    </w:rPr>
                    <w:t>Job title:</w:t>
                  </w:r>
                </w:p>
              </w:tc>
              <w:tc>
                <w:tcPr>
                  <w:tcW w:w="4393" w:type="dxa"/>
                  <w:gridSpan w:val="3"/>
                  <w:tcBorders>
                    <w:top w:val="single" w:sz="12" w:space="0" w:color="auto"/>
                    <w:left w:val="nil"/>
                    <w:bottom w:val="nil"/>
                    <w:right w:val="nil"/>
                  </w:tcBorders>
                </w:tcPr>
                <w:p w14:paraId="1099411E" w14:textId="77777777" w:rsidR="00FD64B5" w:rsidRDefault="00FD64B5">
                  <w:pPr>
                    <w:rPr>
                      <w:sz w:val="18"/>
                      <w:szCs w:val="18"/>
                    </w:rPr>
                  </w:pPr>
                </w:p>
              </w:tc>
              <w:tc>
                <w:tcPr>
                  <w:tcW w:w="2238" w:type="dxa"/>
                  <w:gridSpan w:val="2"/>
                  <w:tcBorders>
                    <w:top w:val="single" w:sz="12" w:space="0" w:color="auto"/>
                    <w:left w:val="nil"/>
                    <w:bottom w:val="nil"/>
                    <w:right w:val="nil"/>
                  </w:tcBorders>
                </w:tcPr>
                <w:p w14:paraId="6263DFC8" w14:textId="77777777" w:rsidR="00FD64B5" w:rsidRDefault="00FD64B5">
                  <w:pPr>
                    <w:rPr>
                      <w:sz w:val="18"/>
                      <w:szCs w:val="18"/>
                    </w:rPr>
                  </w:pPr>
                </w:p>
              </w:tc>
            </w:tr>
            <w:tr w:rsidR="00FD64B5" w14:paraId="02C8AD8B" w14:textId="77777777">
              <w:tc>
                <w:tcPr>
                  <w:tcW w:w="1919" w:type="dxa"/>
                  <w:hideMark/>
                </w:tcPr>
                <w:p w14:paraId="3528D54E" w14:textId="77777777" w:rsidR="00FD64B5" w:rsidRDefault="00FD64B5">
                  <w:pPr>
                    <w:rPr>
                      <w:sz w:val="18"/>
                      <w:szCs w:val="18"/>
                    </w:rPr>
                  </w:pPr>
                  <w:r>
                    <w:rPr>
                      <w:sz w:val="18"/>
                      <w:szCs w:val="18"/>
                    </w:rPr>
                    <w:t>Institution/department:</w:t>
                  </w:r>
                </w:p>
              </w:tc>
              <w:tc>
                <w:tcPr>
                  <w:tcW w:w="4393" w:type="dxa"/>
                  <w:gridSpan w:val="3"/>
                </w:tcPr>
                <w:p w14:paraId="7A8BE4E1" w14:textId="77777777" w:rsidR="00FD64B5" w:rsidRDefault="00FD64B5">
                  <w:pPr>
                    <w:rPr>
                      <w:sz w:val="18"/>
                      <w:szCs w:val="18"/>
                    </w:rPr>
                  </w:pPr>
                </w:p>
              </w:tc>
              <w:tc>
                <w:tcPr>
                  <w:tcW w:w="2238" w:type="dxa"/>
                  <w:gridSpan w:val="2"/>
                </w:tcPr>
                <w:p w14:paraId="63D879E2" w14:textId="77777777" w:rsidR="00FD64B5" w:rsidRDefault="00FD64B5">
                  <w:pPr>
                    <w:rPr>
                      <w:sz w:val="18"/>
                      <w:szCs w:val="18"/>
                    </w:rPr>
                  </w:pPr>
                </w:p>
              </w:tc>
            </w:tr>
            <w:tr w:rsidR="00FD64B5" w14:paraId="0AD7A9B4" w14:textId="77777777">
              <w:trPr>
                <w:trHeight w:val="70"/>
              </w:trPr>
              <w:tc>
                <w:tcPr>
                  <w:tcW w:w="1919" w:type="dxa"/>
                  <w:hideMark/>
                </w:tcPr>
                <w:p w14:paraId="67B66A30" w14:textId="77777777" w:rsidR="00FD64B5" w:rsidRDefault="00FD64B5">
                  <w:pPr>
                    <w:rPr>
                      <w:sz w:val="18"/>
                      <w:szCs w:val="18"/>
                    </w:rPr>
                  </w:pPr>
                  <w:r>
                    <w:rPr>
                      <w:sz w:val="18"/>
                      <w:szCs w:val="18"/>
                    </w:rPr>
                    <w:t>Address:</w:t>
                  </w:r>
                </w:p>
              </w:tc>
              <w:tc>
                <w:tcPr>
                  <w:tcW w:w="4393" w:type="dxa"/>
                  <w:gridSpan w:val="3"/>
                </w:tcPr>
                <w:p w14:paraId="5C149239" w14:textId="77777777" w:rsidR="00FD64B5" w:rsidRDefault="00FD64B5">
                  <w:pPr>
                    <w:rPr>
                      <w:sz w:val="18"/>
                      <w:szCs w:val="18"/>
                    </w:rPr>
                  </w:pPr>
                </w:p>
              </w:tc>
              <w:tc>
                <w:tcPr>
                  <w:tcW w:w="2238" w:type="dxa"/>
                  <w:gridSpan w:val="2"/>
                </w:tcPr>
                <w:p w14:paraId="1C3A7CEF" w14:textId="77777777" w:rsidR="00FD64B5" w:rsidRDefault="00FD64B5">
                  <w:pPr>
                    <w:rPr>
                      <w:sz w:val="18"/>
                      <w:szCs w:val="18"/>
                    </w:rPr>
                  </w:pPr>
                </w:p>
              </w:tc>
            </w:tr>
            <w:tr w:rsidR="00FD64B5" w14:paraId="35A5B193" w14:textId="77777777">
              <w:tc>
                <w:tcPr>
                  <w:tcW w:w="1919" w:type="dxa"/>
                  <w:hideMark/>
                </w:tcPr>
                <w:p w14:paraId="0E961FCE" w14:textId="77777777" w:rsidR="00FD64B5" w:rsidRDefault="00FD64B5">
                  <w:pPr>
                    <w:rPr>
                      <w:sz w:val="18"/>
                      <w:szCs w:val="18"/>
                    </w:rPr>
                  </w:pPr>
                  <w:r>
                    <w:rPr>
                      <w:sz w:val="18"/>
                      <w:szCs w:val="18"/>
                    </w:rPr>
                    <w:t>Telephone:</w:t>
                  </w:r>
                </w:p>
              </w:tc>
              <w:tc>
                <w:tcPr>
                  <w:tcW w:w="1841" w:type="dxa"/>
                  <w:hideMark/>
                </w:tcPr>
                <w:p w14:paraId="304EEB44" w14:textId="77777777" w:rsidR="00FD64B5" w:rsidRDefault="00FD64B5">
                  <w:pPr>
                    <w:rPr>
                      <w:sz w:val="18"/>
                      <w:szCs w:val="18"/>
                    </w:rPr>
                  </w:pPr>
                  <w:r>
                    <w:rPr>
                      <w:sz w:val="18"/>
                      <w:szCs w:val="18"/>
                    </w:rPr>
                    <w:t>Fax:</w:t>
                  </w:r>
                </w:p>
              </w:tc>
              <w:tc>
                <w:tcPr>
                  <w:tcW w:w="2552" w:type="dxa"/>
                  <w:gridSpan w:val="2"/>
                  <w:hideMark/>
                </w:tcPr>
                <w:p w14:paraId="5EA469D7" w14:textId="77777777" w:rsidR="00FD64B5" w:rsidRDefault="00FD64B5">
                  <w:pPr>
                    <w:rPr>
                      <w:sz w:val="18"/>
                      <w:szCs w:val="18"/>
                    </w:rPr>
                  </w:pPr>
                  <w:r>
                    <w:rPr>
                      <w:sz w:val="18"/>
                      <w:szCs w:val="18"/>
                    </w:rPr>
                    <w:t>E-mail address:</w:t>
                  </w:r>
                </w:p>
              </w:tc>
              <w:tc>
                <w:tcPr>
                  <w:tcW w:w="2238" w:type="dxa"/>
                  <w:gridSpan w:val="2"/>
                </w:tcPr>
                <w:p w14:paraId="647D4AA6" w14:textId="77777777" w:rsidR="00FD64B5" w:rsidRDefault="00FD64B5">
                  <w:pPr>
                    <w:rPr>
                      <w:sz w:val="18"/>
                      <w:szCs w:val="18"/>
                    </w:rPr>
                  </w:pPr>
                </w:p>
              </w:tc>
            </w:tr>
            <w:tr w:rsidR="00FD64B5" w14:paraId="0EBD6E81" w14:textId="77777777">
              <w:trPr>
                <w:trHeight w:val="231"/>
              </w:trPr>
              <w:tc>
                <w:tcPr>
                  <w:tcW w:w="1919" w:type="dxa"/>
                  <w:hideMark/>
                </w:tcPr>
                <w:p w14:paraId="309A2421" w14:textId="77777777" w:rsidR="00FD64B5" w:rsidRDefault="00FD64B5">
                  <w:pPr>
                    <w:rPr>
                      <w:sz w:val="18"/>
                      <w:szCs w:val="18"/>
                    </w:rPr>
                  </w:pPr>
                  <w:r>
                    <w:rPr>
                      <w:sz w:val="18"/>
                      <w:szCs w:val="18"/>
                    </w:rPr>
                    <w:t>Contact name:</w:t>
                  </w:r>
                </w:p>
              </w:tc>
              <w:tc>
                <w:tcPr>
                  <w:tcW w:w="1841" w:type="dxa"/>
                </w:tcPr>
                <w:p w14:paraId="2468C3A8" w14:textId="77777777" w:rsidR="00FD64B5" w:rsidRDefault="00FD64B5">
                  <w:pPr>
                    <w:rPr>
                      <w:sz w:val="18"/>
                      <w:szCs w:val="18"/>
                    </w:rPr>
                  </w:pPr>
                </w:p>
              </w:tc>
              <w:tc>
                <w:tcPr>
                  <w:tcW w:w="2552" w:type="dxa"/>
                  <w:gridSpan w:val="2"/>
                  <w:hideMark/>
                </w:tcPr>
                <w:p w14:paraId="6226CA50" w14:textId="77777777" w:rsidR="00FD64B5" w:rsidRDefault="00FD64B5">
                  <w:pPr>
                    <w:rPr>
                      <w:sz w:val="18"/>
                      <w:szCs w:val="18"/>
                    </w:rPr>
                  </w:pPr>
                  <w:r>
                    <w:rPr>
                      <w:sz w:val="18"/>
                      <w:szCs w:val="18"/>
                    </w:rPr>
                    <w:t>Date: (</w:t>
                  </w:r>
                  <w:r>
                    <w:rPr>
                      <w:i/>
                      <w:sz w:val="18"/>
                      <w:szCs w:val="18"/>
                    </w:rPr>
                    <w:t>dd/mm/yyyy</w:t>
                  </w:r>
                  <w:r>
                    <w:rPr>
                      <w:sz w:val="18"/>
                      <w:szCs w:val="18"/>
                    </w:rPr>
                    <w:t>)</w:t>
                  </w:r>
                </w:p>
              </w:tc>
              <w:tc>
                <w:tcPr>
                  <w:tcW w:w="2238" w:type="dxa"/>
                  <w:gridSpan w:val="2"/>
                </w:tcPr>
                <w:p w14:paraId="052C4771" w14:textId="77777777" w:rsidR="00FD64B5" w:rsidRDefault="00FD64B5">
                  <w:pPr>
                    <w:rPr>
                      <w:sz w:val="18"/>
                      <w:szCs w:val="18"/>
                    </w:rPr>
                  </w:pPr>
                </w:p>
              </w:tc>
            </w:tr>
            <w:tr w:rsidR="00FD64B5" w14:paraId="36B89773" w14:textId="77777777">
              <w:trPr>
                <w:trHeight w:val="231"/>
              </w:trPr>
              <w:tc>
                <w:tcPr>
                  <w:tcW w:w="8550" w:type="dxa"/>
                  <w:gridSpan w:val="6"/>
                </w:tcPr>
                <w:p w14:paraId="14450409" w14:textId="77777777" w:rsidR="00FD64B5" w:rsidRDefault="00FD64B5">
                  <w:pPr>
                    <w:rPr>
                      <w:sz w:val="18"/>
                      <w:szCs w:val="18"/>
                    </w:rPr>
                  </w:pPr>
                </w:p>
              </w:tc>
            </w:tr>
            <w:tr w:rsidR="00FD64B5" w14:paraId="051CE4C6" w14:textId="77777777">
              <w:trPr>
                <w:trHeight w:val="454"/>
              </w:trPr>
              <w:tc>
                <w:tcPr>
                  <w:tcW w:w="7132" w:type="dxa"/>
                  <w:gridSpan w:val="5"/>
                  <w:tcBorders>
                    <w:top w:val="single" w:sz="4" w:space="0" w:color="auto"/>
                    <w:left w:val="nil"/>
                    <w:bottom w:val="single" w:sz="4" w:space="0" w:color="auto"/>
                    <w:right w:val="nil"/>
                  </w:tcBorders>
                  <w:vAlign w:val="center"/>
                  <w:hideMark/>
                </w:tcPr>
                <w:p w14:paraId="6296E9DF" w14:textId="77777777" w:rsidR="00FD64B5" w:rsidRDefault="00FD64B5">
                  <w:pPr>
                    <w:rPr>
                      <w:sz w:val="18"/>
                      <w:szCs w:val="18"/>
                    </w:rPr>
                  </w:pPr>
                  <w:r>
                    <w:rPr>
                      <w:b/>
                      <w:sz w:val="18"/>
                      <w:szCs w:val="18"/>
                    </w:rPr>
                    <w:t>PLEASE RETURN THE COMPLETED FORM TO:</w:t>
                  </w:r>
                </w:p>
              </w:tc>
              <w:tc>
                <w:tcPr>
                  <w:tcW w:w="1418" w:type="dxa"/>
                  <w:tcBorders>
                    <w:top w:val="nil"/>
                    <w:left w:val="nil"/>
                    <w:bottom w:val="single" w:sz="4" w:space="0" w:color="auto"/>
                    <w:right w:val="nil"/>
                  </w:tcBorders>
                </w:tcPr>
                <w:p w14:paraId="5296FAB5" w14:textId="77777777" w:rsidR="00FD64B5" w:rsidRDefault="00FD64B5">
                  <w:pPr>
                    <w:rPr>
                      <w:b/>
                      <w:sz w:val="18"/>
                      <w:szCs w:val="18"/>
                    </w:rPr>
                  </w:pPr>
                </w:p>
              </w:tc>
            </w:tr>
            <w:tr w:rsidR="00FD64B5" w:rsidRPr="00FD64B5" w14:paraId="50B3BF09" w14:textId="77777777">
              <w:trPr>
                <w:trHeight w:val="958"/>
              </w:trPr>
              <w:tc>
                <w:tcPr>
                  <w:tcW w:w="4327" w:type="dxa"/>
                  <w:gridSpan w:val="3"/>
                  <w:tcBorders>
                    <w:top w:val="single" w:sz="4" w:space="0" w:color="auto"/>
                    <w:left w:val="nil"/>
                    <w:bottom w:val="single" w:sz="12" w:space="0" w:color="auto"/>
                    <w:right w:val="nil"/>
                  </w:tcBorders>
                  <w:vAlign w:val="center"/>
                  <w:hideMark/>
                </w:tcPr>
                <w:p w14:paraId="40812C70" w14:textId="77777777" w:rsidR="00FD64B5" w:rsidRDefault="00FD64B5">
                  <w:pPr>
                    <w:rPr>
                      <w:sz w:val="18"/>
                      <w:szCs w:val="18"/>
                    </w:rPr>
                  </w:pPr>
                  <w:r>
                    <w:rPr>
                      <w:sz w:val="18"/>
                      <w:szCs w:val="18"/>
                    </w:rPr>
                    <w:t>Secretariat of the Minamata Convention on Mercury</w:t>
                  </w:r>
                </w:p>
                <w:p w14:paraId="36929A7B" w14:textId="77777777" w:rsidR="00FD64B5" w:rsidRDefault="00FD64B5">
                  <w:pPr>
                    <w:rPr>
                      <w:sz w:val="18"/>
                      <w:szCs w:val="18"/>
                      <w:lang w:val="fr-CH"/>
                    </w:rPr>
                  </w:pPr>
                  <w:r>
                    <w:rPr>
                      <w:sz w:val="18"/>
                      <w:szCs w:val="18"/>
                      <w:lang w:val="fr-CH"/>
                    </w:rPr>
                    <w:t>United Nations Environment Programme (UNEP)</w:t>
                  </w:r>
                </w:p>
                <w:p w14:paraId="313D39B3" w14:textId="77777777" w:rsidR="00FD64B5" w:rsidRDefault="00FD64B5">
                  <w:pPr>
                    <w:rPr>
                      <w:sz w:val="18"/>
                      <w:szCs w:val="18"/>
                      <w:lang w:val="fr-CH"/>
                    </w:rPr>
                  </w:pPr>
                  <w:r>
                    <w:rPr>
                      <w:sz w:val="18"/>
                      <w:szCs w:val="18"/>
                      <w:lang w:val="fr-CH"/>
                    </w:rPr>
                    <w:t>International Environment House</w:t>
                  </w:r>
                </w:p>
                <w:p w14:paraId="14DB59C7" w14:textId="77777777" w:rsidR="00FD64B5" w:rsidRDefault="00FD64B5">
                  <w:pPr>
                    <w:rPr>
                      <w:sz w:val="18"/>
                      <w:szCs w:val="18"/>
                      <w:lang w:val="fr-CH"/>
                    </w:rPr>
                  </w:pPr>
                  <w:r>
                    <w:rPr>
                      <w:sz w:val="18"/>
                      <w:szCs w:val="18"/>
                      <w:lang w:val="fr-CH"/>
                    </w:rPr>
                    <w:t>11–13, Chemin des Anémones, CH–1219 Châtelaine, Geneva, Switzerland</w:t>
                  </w:r>
                </w:p>
              </w:tc>
              <w:tc>
                <w:tcPr>
                  <w:tcW w:w="4223" w:type="dxa"/>
                  <w:gridSpan w:val="3"/>
                  <w:tcBorders>
                    <w:top w:val="single" w:sz="4" w:space="0" w:color="auto"/>
                    <w:left w:val="nil"/>
                    <w:bottom w:val="single" w:sz="12" w:space="0" w:color="auto"/>
                    <w:right w:val="nil"/>
                  </w:tcBorders>
                  <w:vAlign w:val="center"/>
                  <w:hideMark/>
                </w:tcPr>
                <w:p w14:paraId="3E0FE14A" w14:textId="77777777" w:rsidR="00FD64B5" w:rsidRDefault="00FD64B5">
                  <w:pPr>
                    <w:rPr>
                      <w:sz w:val="18"/>
                      <w:szCs w:val="18"/>
                      <w:lang w:val="fr-CH"/>
                    </w:rPr>
                  </w:pPr>
                  <w:r>
                    <w:rPr>
                      <w:sz w:val="18"/>
                      <w:szCs w:val="18"/>
                      <w:lang w:val="fr-CH"/>
                    </w:rPr>
                    <w:t>Fax: +41 22 797 3460</w:t>
                  </w:r>
                </w:p>
                <w:p w14:paraId="02429DFE" w14:textId="77777777" w:rsidR="00FD64B5" w:rsidRDefault="00FD64B5">
                  <w:pPr>
                    <w:rPr>
                      <w:sz w:val="18"/>
                      <w:szCs w:val="18"/>
                      <w:lang w:val="fr-CH"/>
                    </w:rPr>
                  </w:pPr>
                  <w:r>
                    <w:rPr>
                      <w:sz w:val="18"/>
                      <w:szCs w:val="18"/>
                      <w:lang w:val="fr-CH"/>
                    </w:rPr>
                    <w:t>Email: mercury.chemicals@unep.org</w:t>
                  </w:r>
                </w:p>
              </w:tc>
            </w:tr>
          </w:tbl>
          <w:p w14:paraId="1AB4AB18" w14:textId="77777777" w:rsidR="00FD64B5" w:rsidRDefault="00FD64B5">
            <w:pPr>
              <w:tabs>
                <w:tab w:val="left" w:pos="601"/>
                <w:tab w:val="left" w:pos="3011"/>
              </w:tabs>
              <w:ind w:left="-84" w:firstLine="84"/>
              <w:rPr>
                <w:i/>
                <w:iCs/>
                <w:sz w:val="18"/>
                <w:szCs w:val="18"/>
                <w:lang w:val="fr-CH"/>
              </w:rPr>
            </w:pPr>
          </w:p>
        </w:tc>
      </w:tr>
    </w:tbl>
    <w:p w14:paraId="4BCB5E8A" w14:textId="77777777" w:rsidR="00FD64B5" w:rsidRDefault="00FD64B5" w:rsidP="00FD64B5">
      <w:pPr>
        <w:rPr>
          <w:lang w:val="fr-CH"/>
        </w:rPr>
      </w:pPr>
      <w:r>
        <w:rPr>
          <w:b/>
          <w:bCs/>
          <w:lang w:val="fr-CH"/>
        </w:rPr>
        <w:br w:type="page"/>
      </w:r>
    </w:p>
    <w:p w14:paraId="53F6BF5B" w14:textId="77777777" w:rsidR="00FD64B5" w:rsidRDefault="00FD64B5" w:rsidP="00FD64B5">
      <w:pPr>
        <w:pStyle w:val="CH2"/>
      </w:pPr>
      <w:r>
        <w:rPr>
          <w:lang w:val="fr-CH"/>
        </w:rPr>
        <w:lastRenderedPageBreak/>
        <w:tab/>
      </w:r>
      <w:r>
        <w:rPr>
          <w:lang w:val="fr-CH"/>
        </w:rPr>
        <w:tab/>
      </w:r>
      <w:r>
        <w:t>Annex B: Processes that use mercury</w:t>
      </w:r>
    </w:p>
    <w:tbl>
      <w:tblPr>
        <w:tblW w:w="811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83"/>
        <w:gridCol w:w="284"/>
        <w:gridCol w:w="2471"/>
        <w:gridCol w:w="506"/>
        <w:gridCol w:w="1651"/>
        <w:gridCol w:w="1076"/>
      </w:tblGrid>
      <w:tr w:rsidR="00FD64B5" w14:paraId="7A8AF102" w14:textId="77777777" w:rsidTr="00FD64B5">
        <w:tc>
          <w:tcPr>
            <w:tcW w:w="8113" w:type="dxa"/>
            <w:gridSpan w:val="7"/>
            <w:tcBorders>
              <w:top w:val="single" w:sz="4" w:space="0" w:color="auto"/>
              <w:left w:val="nil"/>
              <w:bottom w:val="single" w:sz="12" w:space="0" w:color="auto"/>
              <w:right w:val="nil"/>
            </w:tcBorders>
            <w:hideMark/>
          </w:tcPr>
          <w:p w14:paraId="3C17DD20" w14:textId="77777777" w:rsidR="00FD64B5" w:rsidRDefault="00FD64B5">
            <w:pPr>
              <w:tabs>
                <w:tab w:val="left" w:pos="601"/>
                <w:tab w:val="left" w:pos="3011"/>
              </w:tabs>
              <w:spacing w:before="240" w:after="120" w:line="480" w:lineRule="auto"/>
              <w:rPr>
                <w:i/>
                <w:iCs/>
              </w:rPr>
            </w:pPr>
            <w:r>
              <w:rPr>
                <w:b/>
                <w:bCs/>
                <w:sz w:val="18"/>
                <w:szCs w:val="18"/>
              </w:rPr>
              <w:t>REGISTRATION OF EXEMPTION FOR ARTICLE 5</w:t>
            </w:r>
          </w:p>
        </w:tc>
      </w:tr>
      <w:tr w:rsidR="00FD64B5" w14:paraId="021AB398" w14:textId="77777777" w:rsidTr="00FD64B5">
        <w:tc>
          <w:tcPr>
            <w:tcW w:w="8113" w:type="dxa"/>
            <w:gridSpan w:val="7"/>
            <w:tcBorders>
              <w:top w:val="single" w:sz="12" w:space="0" w:color="auto"/>
              <w:left w:val="nil"/>
              <w:bottom w:val="single" w:sz="4" w:space="0" w:color="auto"/>
              <w:right w:val="nil"/>
            </w:tcBorders>
            <w:hideMark/>
          </w:tcPr>
          <w:p w14:paraId="3F4CD881" w14:textId="77777777" w:rsidR="00FD64B5" w:rsidRDefault="00FD64B5">
            <w:pPr>
              <w:spacing w:before="20" w:after="20"/>
              <w:rPr>
                <w:b/>
                <w:bCs/>
                <w:sz w:val="18"/>
                <w:szCs w:val="18"/>
              </w:rPr>
            </w:pPr>
            <w:r>
              <w:rPr>
                <w:b/>
                <w:bCs/>
                <w:sz w:val="18"/>
                <w:szCs w:val="18"/>
              </w:rPr>
              <w:t>PARTY:</w:t>
            </w:r>
          </w:p>
        </w:tc>
      </w:tr>
      <w:tr w:rsidR="00FD64B5" w14:paraId="256F7966" w14:textId="77777777" w:rsidTr="00FD64B5">
        <w:tc>
          <w:tcPr>
            <w:tcW w:w="8113" w:type="dxa"/>
            <w:gridSpan w:val="7"/>
            <w:tcBorders>
              <w:top w:val="single" w:sz="4" w:space="0" w:color="auto"/>
              <w:left w:val="nil"/>
              <w:bottom w:val="single" w:sz="4" w:space="0" w:color="auto"/>
              <w:right w:val="nil"/>
            </w:tcBorders>
            <w:hideMark/>
          </w:tcPr>
          <w:p w14:paraId="556882D1" w14:textId="77777777" w:rsidR="00FD64B5" w:rsidRDefault="00FD64B5">
            <w:pPr>
              <w:spacing w:before="20" w:after="20"/>
              <w:rPr>
                <w:b/>
                <w:bCs/>
                <w:sz w:val="18"/>
                <w:szCs w:val="18"/>
              </w:rPr>
            </w:pPr>
            <w:r>
              <w:rPr>
                <w:sz w:val="18"/>
                <w:szCs w:val="18"/>
              </w:rPr>
              <w:t>The secretariat of the Minamata Convention is hereby notified of the registration of the following exemption pursuant to paragraph 1 of article 6 of the Convention.</w:t>
            </w:r>
          </w:p>
        </w:tc>
      </w:tr>
      <w:tr w:rsidR="00FD64B5" w14:paraId="39D8D8A4" w14:textId="77777777" w:rsidTr="00FD64B5">
        <w:tc>
          <w:tcPr>
            <w:tcW w:w="2410" w:type="dxa"/>
            <w:gridSpan w:val="3"/>
            <w:tcBorders>
              <w:top w:val="single" w:sz="4" w:space="0" w:color="auto"/>
              <w:left w:val="nil"/>
              <w:bottom w:val="single" w:sz="4" w:space="0" w:color="auto"/>
              <w:right w:val="nil"/>
            </w:tcBorders>
            <w:hideMark/>
          </w:tcPr>
          <w:p w14:paraId="409116FF" w14:textId="77777777" w:rsidR="00FD64B5" w:rsidRDefault="00FD64B5">
            <w:pPr>
              <w:spacing w:before="20" w:after="20"/>
              <w:rPr>
                <w:rFonts w:ascii="SimSun" w:cs="SimSun"/>
                <w:sz w:val="18"/>
                <w:szCs w:val="18"/>
              </w:rPr>
            </w:pPr>
            <w:r>
              <w:rPr>
                <w:b/>
                <w:bCs/>
                <w:sz w:val="18"/>
                <w:szCs w:val="18"/>
              </w:rPr>
              <w:t>Manufacturing processes using mercury or mercury compounds set out in part I of Annex B</w:t>
            </w:r>
          </w:p>
        </w:tc>
        <w:tc>
          <w:tcPr>
            <w:tcW w:w="2976" w:type="dxa"/>
            <w:gridSpan w:val="2"/>
            <w:tcBorders>
              <w:top w:val="single" w:sz="4" w:space="0" w:color="auto"/>
              <w:left w:val="nil"/>
              <w:bottom w:val="single" w:sz="4" w:space="0" w:color="auto"/>
              <w:right w:val="nil"/>
            </w:tcBorders>
            <w:hideMark/>
          </w:tcPr>
          <w:p w14:paraId="192BFF6B" w14:textId="77777777" w:rsidR="00FD64B5" w:rsidRDefault="00FD64B5">
            <w:pPr>
              <w:spacing w:before="20" w:after="20"/>
              <w:rPr>
                <w:rFonts w:hint="eastAsia"/>
                <w:sz w:val="18"/>
                <w:szCs w:val="18"/>
              </w:rPr>
            </w:pPr>
            <w:r>
              <w:rPr>
                <w:b/>
                <w:sz w:val="18"/>
                <w:szCs w:val="18"/>
              </w:rPr>
              <w:t>Indicate the category or subcategory for which the exemption is registered.</w:t>
            </w:r>
          </w:p>
        </w:tc>
        <w:tc>
          <w:tcPr>
            <w:tcW w:w="2727" w:type="dxa"/>
            <w:gridSpan w:val="2"/>
            <w:tcBorders>
              <w:top w:val="single" w:sz="4" w:space="0" w:color="auto"/>
              <w:left w:val="nil"/>
              <w:bottom w:val="single" w:sz="4" w:space="0" w:color="auto"/>
              <w:right w:val="nil"/>
            </w:tcBorders>
            <w:hideMark/>
          </w:tcPr>
          <w:p w14:paraId="47F269FD" w14:textId="77777777" w:rsidR="00FD64B5" w:rsidRDefault="00FD64B5">
            <w:pPr>
              <w:spacing w:before="20" w:after="20"/>
              <w:rPr>
                <w:sz w:val="18"/>
                <w:szCs w:val="18"/>
              </w:rPr>
            </w:pPr>
            <w:r>
              <w:rPr>
                <w:b/>
                <w:bCs/>
                <w:sz w:val="18"/>
                <w:szCs w:val="18"/>
              </w:rPr>
              <w:t xml:space="preserve">Duration of exemption </w:t>
            </w:r>
            <w:r>
              <w:rPr>
                <w:b/>
                <w:bCs/>
                <w:sz w:val="18"/>
                <w:szCs w:val="18"/>
              </w:rPr>
              <w:br/>
              <w:t>(if less than five years past the phase-out date)</w:t>
            </w:r>
          </w:p>
        </w:tc>
      </w:tr>
      <w:tr w:rsidR="00FD64B5" w14:paraId="06FAB31E" w14:textId="77777777" w:rsidTr="00FD64B5">
        <w:tc>
          <w:tcPr>
            <w:tcW w:w="2410" w:type="dxa"/>
            <w:gridSpan w:val="3"/>
            <w:tcBorders>
              <w:top w:val="single" w:sz="4" w:space="0" w:color="auto"/>
              <w:left w:val="nil"/>
              <w:bottom w:val="nil"/>
              <w:right w:val="nil"/>
            </w:tcBorders>
            <w:hideMark/>
          </w:tcPr>
          <w:p w14:paraId="4EFBDB3A" w14:textId="77777777" w:rsidR="00FD64B5" w:rsidRDefault="00FD64B5">
            <w:pPr>
              <w:spacing w:before="20" w:after="20"/>
              <w:rPr>
                <w:rFonts w:ascii="SimSun" w:cs="SimSun"/>
                <w:sz w:val="18"/>
                <w:szCs w:val="18"/>
              </w:rPr>
            </w:pPr>
            <w:r>
              <w:rPr>
                <w:sz w:val="18"/>
                <w:szCs w:val="18"/>
              </w:rPr>
              <w:t>Chlor-alkali production</w:t>
            </w:r>
          </w:p>
        </w:tc>
        <w:tc>
          <w:tcPr>
            <w:tcW w:w="2976" w:type="dxa"/>
            <w:gridSpan w:val="2"/>
            <w:tcBorders>
              <w:top w:val="single" w:sz="4" w:space="0" w:color="auto"/>
              <w:left w:val="nil"/>
              <w:bottom w:val="nil"/>
              <w:right w:val="nil"/>
            </w:tcBorders>
            <w:hideMark/>
          </w:tcPr>
          <w:p w14:paraId="2F161D22" w14:textId="77777777" w:rsidR="00FD64B5" w:rsidRDefault="00FD64B5">
            <w:pPr>
              <w:rPr>
                <w:rFonts w:ascii="SimSun" w:cs="SimSun" w:hint="eastAsia"/>
                <w:sz w:val="18"/>
                <w:szCs w:val="18"/>
              </w:rPr>
            </w:pPr>
          </w:p>
        </w:tc>
        <w:tc>
          <w:tcPr>
            <w:tcW w:w="2727" w:type="dxa"/>
            <w:gridSpan w:val="2"/>
            <w:tcBorders>
              <w:top w:val="single" w:sz="4" w:space="0" w:color="auto"/>
              <w:left w:val="nil"/>
              <w:bottom w:val="nil"/>
              <w:right w:val="nil"/>
            </w:tcBorders>
          </w:tcPr>
          <w:p w14:paraId="7E686BC0" w14:textId="77777777" w:rsidR="00FD64B5" w:rsidRDefault="00FD64B5">
            <w:pPr>
              <w:spacing w:before="20" w:after="20"/>
              <w:rPr>
                <w:sz w:val="18"/>
                <w:szCs w:val="18"/>
              </w:rPr>
            </w:pPr>
          </w:p>
        </w:tc>
      </w:tr>
      <w:tr w:rsidR="00FD64B5" w14:paraId="089226A5" w14:textId="77777777" w:rsidTr="00FD64B5">
        <w:tc>
          <w:tcPr>
            <w:tcW w:w="2410" w:type="dxa"/>
            <w:gridSpan w:val="3"/>
            <w:tcBorders>
              <w:top w:val="nil"/>
              <w:left w:val="nil"/>
              <w:bottom w:val="nil"/>
              <w:right w:val="nil"/>
            </w:tcBorders>
            <w:hideMark/>
          </w:tcPr>
          <w:p w14:paraId="5AB63DDE" w14:textId="77777777" w:rsidR="00FD64B5" w:rsidRDefault="00FD64B5">
            <w:pPr>
              <w:spacing w:before="20" w:after="20"/>
              <w:rPr>
                <w:rFonts w:ascii="SimSun" w:cs="SimSun"/>
                <w:sz w:val="18"/>
                <w:szCs w:val="18"/>
              </w:rPr>
            </w:pPr>
            <w:r>
              <w:rPr>
                <w:sz w:val="18"/>
                <w:szCs w:val="18"/>
              </w:rPr>
              <w:t>Acetaldehyde production in which mercury or mercury compounds are used as a catalyst</w:t>
            </w:r>
          </w:p>
        </w:tc>
        <w:tc>
          <w:tcPr>
            <w:tcW w:w="2976" w:type="dxa"/>
            <w:gridSpan w:val="2"/>
            <w:tcBorders>
              <w:top w:val="nil"/>
              <w:left w:val="nil"/>
              <w:bottom w:val="nil"/>
              <w:right w:val="nil"/>
            </w:tcBorders>
            <w:hideMark/>
          </w:tcPr>
          <w:p w14:paraId="1C7061CA" w14:textId="77777777" w:rsidR="00FD64B5" w:rsidRDefault="00FD64B5">
            <w:pPr>
              <w:rPr>
                <w:rFonts w:ascii="SimSun" w:cs="SimSun" w:hint="eastAsia"/>
                <w:sz w:val="18"/>
                <w:szCs w:val="18"/>
              </w:rPr>
            </w:pPr>
          </w:p>
        </w:tc>
        <w:tc>
          <w:tcPr>
            <w:tcW w:w="2727" w:type="dxa"/>
            <w:gridSpan w:val="2"/>
            <w:tcBorders>
              <w:top w:val="nil"/>
              <w:left w:val="nil"/>
              <w:bottom w:val="nil"/>
              <w:right w:val="nil"/>
            </w:tcBorders>
          </w:tcPr>
          <w:p w14:paraId="1E644AB1" w14:textId="77777777" w:rsidR="00FD64B5" w:rsidRDefault="00FD64B5">
            <w:pPr>
              <w:spacing w:before="20" w:after="20"/>
              <w:rPr>
                <w:sz w:val="18"/>
                <w:szCs w:val="18"/>
              </w:rPr>
            </w:pPr>
          </w:p>
        </w:tc>
      </w:tr>
      <w:tr w:rsidR="00FD64B5" w14:paraId="0333C123" w14:textId="77777777" w:rsidTr="00FD64B5">
        <w:trPr>
          <w:trHeight w:val="259"/>
        </w:trPr>
        <w:tc>
          <w:tcPr>
            <w:tcW w:w="8113" w:type="dxa"/>
            <w:gridSpan w:val="7"/>
            <w:tcBorders>
              <w:top w:val="nil"/>
              <w:left w:val="nil"/>
              <w:bottom w:val="nil"/>
              <w:right w:val="nil"/>
            </w:tcBorders>
            <w:hideMark/>
          </w:tcPr>
          <w:p w14:paraId="69E14036" w14:textId="77777777" w:rsidR="00FD64B5" w:rsidRDefault="00FD64B5">
            <w:pPr>
              <w:pStyle w:val="Normalnumber"/>
              <w:numPr>
                <w:ilvl w:val="0"/>
                <w:numId w:val="0"/>
              </w:numPr>
              <w:tabs>
                <w:tab w:val="left" w:pos="0"/>
              </w:tabs>
              <w:spacing w:before="20" w:after="20"/>
              <w:jc w:val="both"/>
              <w:rPr>
                <w:sz w:val="18"/>
                <w:szCs w:val="18"/>
              </w:rPr>
            </w:pPr>
            <w:r>
              <w:rPr>
                <w:sz w:val="18"/>
                <w:szCs w:val="18"/>
              </w:rPr>
              <w:t>Please attach an explanatory statement on the need for the exemption, one statement per process category.</w:t>
            </w:r>
          </w:p>
          <w:p w14:paraId="01694145" w14:textId="77777777" w:rsidR="00FD64B5" w:rsidRDefault="00FD64B5">
            <w:pPr>
              <w:pStyle w:val="Normalnumber"/>
              <w:numPr>
                <w:ilvl w:val="0"/>
                <w:numId w:val="0"/>
              </w:numPr>
              <w:tabs>
                <w:tab w:val="left" w:pos="0"/>
              </w:tabs>
              <w:spacing w:before="20" w:after="20"/>
              <w:jc w:val="both"/>
              <w:rPr>
                <w:sz w:val="18"/>
                <w:szCs w:val="18"/>
              </w:rPr>
            </w:pPr>
            <w:r>
              <w:rPr>
                <w:sz w:val="18"/>
                <w:szCs w:val="18"/>
              </w:rPr>
              <w:t xml:space="preserve">As part of, or in addition to, the explanation of the need for the exemption, the registering Party may include, as appropriate, the following information: </w:t>
            </w:r>
          </w:p>
          <w:p w14:paraId="3DF9ABE3" w14:textId="77777777" w:rsidR="00FD64B5" w:rsidRDefault="00FD64B5" w:rsidP="003C33E1">
            <w:pPr>
              <w:pStyle w:val="Normalnumber"/>
              <w:numPr>
                <w:ilvl w:val="0"/>
                <w:numId w:val="14"/>
              </w:numPr>
              <w:tabs>
                <w:tab w:val="clear" w:pos="624"/>
                <w:tab w:val="clear" w:pos="1247"/>
                <w:tab w:val="left" w:pos="720"/>
              </w:tabs>
              <w:spacing w:before="20" w:after="20"/>
              <w:ind w:left="883" w:hanging="259"/>
              <w:jc w:val="both"/>
              <w:rPr>
                <w:sz w:val="18"/>
                <w:u w:val="single"/>
              </w:rPr>
            </w:pPr>
            <w:r>
              <w:rPr>
                <w:sz w:val="18"/>
                <w:szCs w:val="18"/>
              </w:rPr>
              <w:t>Any timetable or plan of action to phase out the use of mercury in facilities; and</w:t>
            </w:r>
          </w:p>
          <w:p w14:paraId="2E4409AB" w14:textId="77777777" w:rsidR="00FD64B5" w:rsidRDefault="00FD64B5" w:rsidP="003C33E1">
            <w:pPr>
              <w:pStyle w:val="Normalnumber"/>
              <w:numPr>
                <w:ilvl w:val="0"/>
                <w:numId w:val="15"/>
              </w:numPr>
              <w:tabs>
                <w:tab w:val="clear" w:pos="624"/>
                <w:tab w:val="clear" w:pos="1247"/>
                <w:tab w:val="left" w:pos="720"/>
              </w:tabs>
              <w:spacing w:before="20" w:after="20"/>
              <w:ind w:left="883" w:hanging="259"/>
              <w:jc w:val="both"/>
              <w:rPr>
                <w:sz w:val="18"/>
                <w:u w:val="single"/>
              </w:rPr>
            </w:pPr>
            <w:r>
              <w:rPr>
                <w:sz w:val="18"/>
                <w:szCs w:val="18"/>
              </w:rPr>
              <w:t>Identification of the facilities for which an exemption is being registered, including the capacity of the facilities and the expected annual use of mercury by the facilities.</w:t>
            </w:r>
          </w:p>
        </w:tc>
      </w:tr>
      <w:tr w:rsidR="00FD64B5" w14:paraId="3CD5ED67" w14:textId="77777777" w:rsidTr="00FD64B5">
        <w:trPr>
          <w:trHeight w:val="174"/>
        </w:trPr>
        <w:tc>
          <w:tcPr>
            <w:tcW w:w="2126" w:type="dxa"/>
            <w:gridSpan w:val="2"/>
            <w:tcBorders>
              <w:top w:val="nil"/>
              <w:left w:val="nil"/>
              <w:bottom w:val="single" w:sz="4" w:space="0" w:color="auto"/>
              <w:right w:val="nil"/>
            </w:tcBorders>
            <w:hideMark/>
          </w:tcPr>
          <w:p w14:paraId="73851149" w14:textId="77777777" w:rsidR="00FD64B5" w:rsidRDefault="00FD64B5">
            <w:pPr>
              <w:rPr>
                <w:sz w:val="18"/>
                <w:u w:val="single"/>
              </w:rPr>
            </w:pPr>
          </w:p>
        </w:tc>
        <w:tc>
          <w:tcPr>
            <w:tcW w:w="4911" w:type="dxa"/>
            <w:gridSpan w:val="4"/>
            <w:tcBorders>
              <w:top w:val="nil"/>
              <w:left w:val="nil"/>
              <w:bottom w:val="single" w:sz="4" w:space="0" w:color="auto"/>
              <w:right w:val="nil"/>
            </w:tcBorders>
          </w:tcPr>
          <w:p w14:paraId="52F518DA" w14:textId="77777777" w:rsidR="00FD64B5" w:rsidRDefault="00FD64B5">
            <w:pPr>
              <w:rPr>
                <w:sz w:val="18"/>
                <w:szCs w:val="18"/>
              </w:rPr>
            </w:pPr>
          </w:p>
        </w:tc>
        <w:tc>
          <w:tcPr>
            <w:tcW w:w="1076" w:type="dxa"/>
            <w:tcBorders>
              <w:top w:val="nil"/>
              <w:left w:val="nil"/>
              <w:bottom w:val="single" w:sz="4" w:space="0" w:color="auto"/>
              <w:right w:val="nil"/>
            </w:tcBorders>
          </w:tcPr>
          <w:p w14:paraId="1FC7535E" w14:textId="77777777" w:rsidR="00FD64B5" w:rsidRDefault="00FD64B5">
            <w:pPr>
              <w:rPr>
                <w:sz w:val="18"/>
                <w:szCs w:val="18"/>
              </w:rPr>
            </w:pPr>
          </w:p>
        </w:tc>
      </w:tr>
      <w:tr w:rsidR="00FD64B5" w14:paraId="70667627" w14:textId="77777777" w:rsidTr="00FD64B5">
        <w:trPr>
          <w:trHeight w:val="427"/>
        </w:trPr>
        <w:tc>
          <w:tcPr>
            <w:tcW w:w="7037" w:type="dxa"/>
            <w:gridSpan w:val="6"/>
            <w:tcBorders>
              <w:top w:val="single" w:sz="4" w:space="0" w:color="auto"/>
              <w:left w:val="nil"/>
              <w:bottom w:val="single" w:sz="4" w:space="0" w:color="auto"/>
              <w:right w:val="nil"/>
            </w:tcBorders>
            <w:vAlign w:val="center"/>
            <w:hideMark/>
          </w:tcPr>
          <w:p w14:paraId="7601615B" w14:textId="77777777" w:rsidR="00FD64B5" w:rsidRDefault="00FD64B5">
            <w:pPr>
              <w:rPr>
                <w:sz w:val="18"/>
                <w:szCs w:val="18"/>
              </w:rPr>
            </w:pPr>
            <w:r>
              <w:rPr>
                <w:b/>
                <w:bCs/>
                <w:sz w:val="18"/>
                <w:szCs w:val="18"/>
              </w:rPr>
              <w:t>THIS NOTIFICATION IS SUBMITTED BY:</w:t>
            </w:r>
          </w:p>
        </w:tc>
        <w:tc>
          <w:tcPr>
            <w:tcW w:w="1076" w:type="dxa"/>
            <w:tcBorders>
              <w:top w:val="single" w:sz="4" w:space="0" w:color="auto"/>
              <w:left w:val="nil"/>
              <w:bottom w:val="single" w:sz="4" w:space="0" w:color="auto"/>
              <w:right w:val="nil"/>
            </w:tcBorders>
          </w:tcPr>
          <w:p w14:paraId="2E00D134" w14:textId="77777777" w:rsidR="00FD64B5" w:rsidRDefault="00FD64B5">
            <w:pPr>
              <w:rPr>
                <w:b/>
                <w:bCs/>
                <w:sz w:val="18"/>
                <w:szCs w:val="18"/>
              </w:rPr>
            </w:pPr>
          </w:p>
        </w:tc>
      </w:tr>
      <w:tr w:rsidR="00FD64B5" w14:paraId="1AEAC15C" w14:textId="77777777" w:rsidTr="00FD64B5">
        <w:tc>
          <w:tcPr>
            <w:tcW w:w="1843" w:type="dxa"/>
            <w:tcBorders>
              <w:top w:val="single" w:sz="4" w:space="0" w:color="auto"/>
              <w:left w:val="nil"/>
              <w:bottom w:val="nil"/>
              <w:right w:val="nil"/>
            </w:tcBorders>
            <w:hideMark/>
          </w:tcPr>
          <w:p w14:paraId="25CFB433" w14:textId="77777777" w:rsidR="00FD64B5" w:rsidRDefault="00FD64B5">
            <w:pPr>
              <w:spacing w:before="20" w:after="20"/>
              <w:rPr>
                <w:sz w:val="18"/>
                <w:szCs w:val="18"/>
              </w:rPr>
            </w:pPr>
            <w:r>
              <w:rPr>
                <w:sz w:val="18"/>
                <w:szCs w:val="18"/>
              </w:rPr>
              <w:t>Job title:</w:t>
            </w:r>
          </w:p>
        </w:tc>
        <w:tc>
          <w:tcPr>
            <w:tcW w:w="5194" w:type="dxa"/>
            <w:gridSpan w:val="5"/>
            <w:tcBorders>
              <w:top w:val="single" w:sz="4" w:space="0" w:color="auto"/>
              <w:left w:val="nil"/>
              <w:bottom w:val="nil"/>
              <w:right w:val="nil"/>
            </w:tcBorders>
          </w:tcPr>
          <w:p w14:paraId="2C40D016" w14:textId="77777777" w:rsidR="00FD64B5" w:rsidRDefault="00FD64B5">
            <w:pPr>
              <w:spacing w:before="20" w:after="20"/>
              <w:rPr>
                <w:sz w:val="18"/>
                <w:szCs w:val="18"/>
              </w:rPr>
            </w:pPr>
          </w:p>
        </w:tc>
        <w:tc>
          <w:tcPr>
            <w:tcW w:w="1076" w:type="dxa"/>
            <w:tcBorders>
              <w:top w:val="single" w:sz="4" w:space="0" w:color="auto"/>
              <w:left w:val="nil"/>
              <w:bottom w:val="nil"/>
              <w:right w:val="nil"/>
            </w:tcBorders>
          </w:tcPr>
          <w:p w14:paraId="4D7BA160" w14:textId="77777777" w:rsidR="00FD64B5" w:rsidRDefault="00FD64B5">
            <w:pPr>
              <w:rPr>
                <w:sz w:val="18"/>
                <w:szCs w:val="18"/>
              </w:rPr>
            </w:pPr>
          </w:p>
        </w:tc>
      </w:tr>
      <w:tr w:rsidR="00FD64B5" w14:paraId="69245DBC" w14:textId="77777777" w:rsidTr="00FD64B5">
        <w:tc>
          <w:tcPr>
            <w:tcW w:w="1843" w:type="dxa"/>
            <w:tcBorders>
              <w:top w:val="nil"/>
              <w:left w:val="nil"/>
              <w:bottom w:val="nil"/>
              <w:right w:val="nil"/>
            </w:tcBorders>
            <w:hideMark/>
          </w:tcPr>
          <w:p w14:paraId="3B08A5F6" w14:textId="77777777" w:rsidR="00FD64B5" w:rsidRDefault="00FD64B5">
            <w:pPr>
              <w:spacing w:before="20" w:after="20"/>
              <w:rPr>
                <w:sz w:val="18"/>
                <w:szCs w:val="18"/>
              </w:rPr>
            </w:pPr>
            <w:r>
              <w:rPr>
                <w:sz w:val="18"/>
                <w:szCs w:val="18"/>
              </w:rPr>
              <w:t>Institution/department:</w:t>
            </w:r>
          </w:p>
        </w:tc>
        <w:tc>
          <w:tcPr>
            <w:tcW w:w="5194" w:type="dxa"/>
            <w:gridSpan w:val="5"/>
            <w:tcBorders>
              <w:top w:val="nil"/>
              <w:left w:val="nil"/>
              <w:bottom w:val="nil"/>
              <w:right w:val="nil"/>
            </w:tcBorders>
          </w:tcPr>
          <w:p w14:paraId="55D3A967" w14:textId="77777777" w:rsidR="00FD64B5" w:rsidRDefault="00FD64B5">
            <w:pPr>
              <w:spacing w:before="20" w:after="20"/>
              <w:rPr>
                <w:sz w:val="18"/>
                <w:szCs w:val="18"/>
              </w:rPr>
            </w:pPr>
          </w:p>
        </w:tc>
        <w:tc>
          <w:tcPr>
            <w:tcW w:w="1076" w:type="dxa"/>
            <w:tcBorders>
              <w:top w:val="nil"/>
              <w:left w:val="nil"/>
              <w:bottom w:val="nil"/>
              <w:right w:val="nil"/>
            </w:tcBorders>
          </w:tcPr>
          <w:p w14:paraId="3416C8DC" w14:textId="77777777" w:rsidR="00FD64B5" w:rsidRDefault="00FD64B5">
            <w:pPr>
              <w:rPr>
                <w:sz w:val="18"/>
                <w:szCs w:val="18"/>
              </w:rPr>
            </w:pPr>
          </w:p>
        </w:tc>
      </w:tr>
      <w:tr w:rsidR="00FD64B5" w14:paraId="56FE87E4" w14:textId="77777777" w:rsidTr="00FD64B5">
        <w:trPr>
          <w:trHeight w:val="70"/>
        </w:trPr>
        <w:tc>
          <w:tcPr>
            <w:tcW w:w="1843" w:type="dxa"/>
            <w:tcBorders>
              <w:top w:val="nil"/>
              <w:left w:val="nil"/>
              <w:bottom w:val="nil"/>
              <w:right w:val="nil"/>
            </w:tcBorders>
            <w:hideMark/>
          </w:tcPr>
          <w:p w14:paraId="332CEFE1" w14:textId="77777777" w:rsidR="00FD64B5" w:rsidRDefault="00FD64B5">
            <w:pPr>
              <w:spacing w:before="20" w:after="20"/>
              <w:rPr>
                <w:sz w:val="18"/>
                <w:szCs w:val="18"/>
              </w:rPr>
            </w:pPr>
            <w:r>
              <w:rPr>
                <w:sz w:val="18"/>
                <w:szCs w:val="18"/>
              </w:rPr>
              <w:t>Address:</w:t>
            </w:r>
          </w:p>
        </w:tc>
        <w:tc>
          <w:tcPr>
            <w:tcW w:w="5194" w:type="dxa"/>
            <w:gridSpan w:val="5"/>
            <w:tcBorders>
              <w:top w:val="nil"/>
              <w:left w:val="nil"/>
              <w:bottom w:val="nil"/>
              <w:right w:val="nil"/>
            </w:tcBorders>
          </w:tcPr>
          <w:p w14:paraId="5DFB6ADF" w14:textId="77777777" w:rsidR="00FD64B5" w:rsidRDefault="00FD64B5">
            <w:pPr>
              <w:spacing w:before="20" w:after="20"/>
              <w:rPr>
                <w:sz w:val="18"/>
                <w:szCs w:val="18"/>
              </w:rPr>
            </w:pPr>
          </w:p>
        </w:tc>
        <w:tc>
          <w:tcPr>
            <w:tcW w:w="1076" w:type="dxa"/>
            <w:tcBorders>
              <w:top w:val="nil"/>
              <w:left w:val="nil"/>
              <w:bottom w:val="nil"/>
              <w:right w:val="nil"/>
            </w:tcBorders>
          </w:tcPr>
          <w:p w14:paraId="113FC894" w14:textId="77777777" w:rsidR="00FD64B5" w:rsidRDefault="00FD64B5">
            <w:pPr>
              <w:rPr>
                <w:sz w:val="18"/>
                <w:szCs w:val="18"/>
              </w:rPr>
            </w:pPr>
          </w:p>
        </w:tc>
      </w:tr>
      <w:tr w:rsidR="00FD64B5" w14:paraId="310440FB" w14:textId="77777777" w:rsidTr="00FD64B5">
        <w:tc>
          <w:tcPr>
            <w:tcW w:w="1843" w:type="dxa"/>
            <w:tcBorders>
              <w:top w:val="nil"/>
              <w:left w:val="nil"/>
              <w:bottom w:val="nil"/>
              <w:right w:val="nil"/>
            </w:tcBorders>
            <w:hideMark/>
          </w:tcPr>
          <w:p w14:paraId="7DB02385" w14:textId="77777777" w:rsidR="00FD64B5" w:rsidRDefault="00FD64B5">
            <w:pPr>
              <w:spacing w:before="20" w:after="20"/>
              <w:rPr>
                <w:sz w:val="18"/>
                <w:szCs w:val="18"/>
              </w:rPr>
            </w:pPr>
            <w:r>
              <w:rPr>
                <w:sz w:val="18"/>
                <w:szCs w:val="18"/>
              </w:rPr>
              <w:t>Telephone:</w:t>
            </w:r>
          </w:p>
        </w:tc>
        <w:tc>
          <w:tcPr>
            <w:tcW w:w="3037" w:type="dxa"/>
            <w:gridSpan w:val="3"/>
            <w:tcBorders>
              <w:top w:val="nil"/>
              <w:left w:val="nil"/>
              <w:bottom w:val="nil"/>
              <w:right w:val="nil"/>
            </w:tcBorders>
            <w:hideMark/>
          </w:tcPr>
          <w:p w14:paraId="694FA285" w14:textId="77777777" w:rsidR="00FD64B5" w:rsidRDefault="00FD64B5">
            <w:pPr>
              <w:spacing w:before="20" w:after="20"/>
              <w:rPr>
                <w:sz w:val="18"/>
                <w:szCs w:val="18"/>
              </w:rPr>
            </w:pPr>
            <w:r>
              <w:rPr>
                <w:sz w:val="18"/>
                <w:szCs w:val="18"/>
              </w:rPr>
              <w:t>Fax:</w:t>
            </w:r>
          </w:p>
        </w:tc>
        <w:tc>
          <w:tcPr>
            <w:tcW w:w="2157" w:type="dxa"/>
            <w:gridSpan w:val="2"/>
            <w:tcBorders>
              <w:top w:val="nil"/>
              <w:left w:val="nil"/>
              <w:bottom w:val="nil"/>
              <w:right w:val="nil"/>
            </w:tcBorders>
            <w:hideMark/>
          </w:tcPr>
          <w:p w14:paraId="2F1AB63D" w14:textId="77777777" w:rsidR="00FD64B5" w:rsidRDefault="00FD64B5">
            <w:pPr>
              <w:spacing w:before="20" w:after="20"/>
              <w:rPr>
                <w:sz w:val="18"/>
                <w:szCs w:val="18"/>
              </w:rPr>
            </w:pPr>
            <w:r>
              <w:rPr>
                <w:sz w:val="18"/>
                <w:szCs w:val="18"/>
              </w:rPr>
              <w:t>E-mail address:</w:t>
            </w:r>
          </w:p>
        </w:tc>
        <w:tc>
          <w:tcPr>
            <w:tcW w:w="1076" w:type="dxa"/>
            <w:tcBorders>
              <w:top w:val="nil"/>
              <w:left w:val="nil"/>
              <w:bottom w:val="nil"/>
              <w:right w:val="nil"/>
            </w:tcBorders>
          </w:tcPr>
          <w:p w14:paraId="2ECE078C" w14:textId="77777777" w:rsidR="00FD64B5" w:rsidRDefault="00FD64B5">
            <w:pPr>
              <w:rPr>
                <w:sz w:val="18"/>
                <w:szCs w:val="18"/>
              </w:rPr>
            </w:pPr>
          </w:p>
        </w:tc>
      </w:tr>
      <w:tr w:rsidR="00FD64B5" w14:paraId="7F92DA13" w14:textId="77777777" w:rsidTr="00FD64B5">
        <w:trPr>
          <w:trHeight w:val="231"/>
        </w:trPr>
        <w:tc>
          <w:tcPr>
            <w:tcW w:w="1843" w:type="dxa"/>
            <w:tcBorders>
              <w:top w:val="nil"/>
              <w:left w:val="nil"/>
              <w:bottom w:val="nil"/>
              <w:right w:val="nil"/>
            </w:tcBorders>
            <w:hideMark/>
          </w:tcPr>
          <w:p w14:paraId="0B3D9CBA" w14:textId="77777777" w:rsidR="00FD64B5" w:rsidRDefault="00FD64B5">
            <w:pPr>
              <w:spacing w:before="20" w:after="20"/>
              <w:rPr>
                <w:sz w:val="18"/>
                <w:szCs w:val="18"/>
              </w:rPr>
            </w:pPr>
            <w:r>
              <w:rPr>
                <w:sz w:val="18"/>
                <w:szCs w:val="18"/>
              </w:rPr>
              <w:t>Contact name:</w:t>
            </w:r>
          </w:p>
        </w:tc>
        <w:tc>
          <w:tcPr>
            <w:tcW w:w="3037" w:type="dxa"/>
            <w:gridSpan w:val="3"/>
            <w:tcBorders>
              <w:top w:val="nil"/>
              <w:left w:val="nil"/>
              <w:bottom w:val="nil"/>
              <w:right w:val="nil"/>
            </w:tcBorders>
          </w:tcPr>
          <w:p w14:paraId="55B2403E" w14:textId="77777777" w:rsidR="00FD64B5" w:rsidRDefault="00FD64B5">
            <w:pPr>
              <w:spacing w:before="20" w:after="20"/>
              <w:rPr>
                <w:sz w:val="18"/>
                <w:szCs w:val="18"/>
              </w:rPr>
            </w:pPr>
          </w:p>
        </w:tc>
        <w:tc>
          <w:tcPr>
            <w:tcW w:w="2157" w:type="dxa"/>
            <w:gridSpan w:val="2"/>
            <w:tcBorders>
              <w:top w:val="nil"/>
              <w:left w:val="nil"/>
              <w:bottom w:val="nil"/>
              <w:right w:val="nil"/>
            </w:tcBorders>
            <w:hideMark/>
          </w:tcPr>
          <w:p w14:paraId="32577EF7" w14:textId="77777777" w:rsidR="00FD64B5" w:rsidRDefault="00FD64B5">
            <w:pPr>
              <w:spacing w:before="20" w:after="20"/>
              <w:rPr>
                <w:sz w:val="18"/>
                <w:szCs w:val="18"/>
              </w:rPr>
            </w:pPr>
            <w:r>
              <w:rPr>
                <w:sz w:val="18"/>
                <w:szCs w:val="18"/>
              </w:rPr>
              <w:t>Date: (</w:t>
            </w:r>
            <w:r>
              <w:rPr>
                <w:i/>
                <w:sz w:val="18"/>
                <w:szCs w:val="18"/>
              </w:rPr>
              <w:t>dd/mm/yyyy</w:t>
            </w:r>
            <w:r>
              <w:rPr>
                <w:sz w:val="18"/>
                <w:szCs w:val="18"/>
              </w:rPr>
              <w:t>)</w:t>
            </w:r>
          </w:p>
        </w:tc>
        <w:tc>
          <w:tcPr>
            <w:tcW w:w="1076" w:type="dxa"/>
            <w:tcBorders>
              <w:top w:val="nil"/>
              <w:left w:val="nil"/>
              <w:bottom w:val="nil"/>
              <w:right w:val="nil"/>
            </w:tcBorders>
          </w:tcPr>
          <w:p w14:paraId="61AE878B" w14:textId="77777777" w:rsidR="00FD64B5" w:rsidRDefault="00FD64B5">
            <w:pPr>
              <w:rPr>
                <w:sz w:val="18"/>
                <w:szCs w:val="18"/>
              </w:rPr>
            </w:pPr>
          </w:p>
        </w:tc>
      </w:tr>
      <w:tr w:rsidR="00FD64B5" w14:paraId="063951B2" w14:textId="77777777" w:rsidTr="00FD64B5">
        <w:trPr>
          <w:trHeight w:val="231"/>
        </w:trPr>
        <w:tc>
          <w:tcPr>
            <w:tcW w:w="8113" w:type="dxa"/>
            <w:gridSpan w:val="7"/>
            <w:tcBorders>
              <w:top w:val="nil"/>
              <w:left w:val="nil"/>
              <w:bottom w:val="single" w:sz="4" w:space="0" w:color="auto"/>
              <w:right w:val="nil"/>
            </w:tcBorders>
          </w:tcPr>
          <w:p w14:paraId="3FC51166" w14:textId="77777777" w:rsidR="00FD64B5" w:rsidRDefault="00FD64B5">
            <w:pPr>
              <w:rPr>
                <w:sz w:val="18"/>
                <w:szCs w:val="18"/>
              </w:rPr>
            </w:pPr>
          </w:p>
        </w:tc>
      </w:tr>
      <w:tr w:rsidR="00FD64B5" w14:paraId="209D37F1" w14:textId="77777777" w:rsidTr="00FD64B5">
        <w:trPr>
          <w:trHeight w:val="454"/>
        </w:trPr>
        <w:tc>
          <w:tcPr>
            <w:tcW w:w="7037" w:type="dxa"/>
            <w:gridSpan w:val="6"/>
            <w:tcBorders>
              <w:top w:val="single" w:sz="4" w:space="0" w:color="auto"/>
              <w:left w:val="nil"/>
              <w:bottom w:val="single" w:sz="4" w:space="0" w:color="auto"/>
              <w:right w:val="nil"/>
            </w:tcBorders>
            <w:vAlign w:val="center"/>
            <w:hideMark/>
          </w:tcPr>
          <w:p w14:paraId="5FFFD2C2" w14:textId="77777777" w:rsidR="00FD64B5" w:rsidRDefault="00FD64B5">
            <w:pPr>
              <w:rPr>
                <w:sz w:val="18"/>
                <w:szCs w:val="18"/>
              </w:rPr>
            </w:pPr>
            <w:r>
              <w:rPr>
                <w:b/>
                <w:sz w:val="18"/>
                <w:szCs w:val="18"/>
              </w:rPr>
              <w:t>PLEASE RETURN THE COMPLETED FORM TO:</w:t>
            </w:r>
          </w:p>
        </w:tc>
        <w:tc>
          <w:tcPr>
            <w:tcW w:w="1076" w:type="dxa"/>
            <w:tcBorders>
              <w:top w:val="single" w:sz="4" w:space="0" w:color="auto"/>
              <w:left w:val="nil"/>
              <w:bottom w:val="single" w:sz="4" w:space="0" w:color="auto"/>
              <w:right w:val="nil"/>
            </w:tcBorders>
          </w:tcPr>
          <w:p w14:paraId="7445460C" w14:textId="77777777" w:rsidR="00FD64B5" w:rsidRDefault="00FD64B5">
            <w:pPr>
              <w:rPr>
                <w:b/>
                <w:sz w:val="18"/>
                <w:szCs w:val="18"/>
              </w:rPr>
            </w:pPr>
          </w:p>
        </w:tc>
      </w:tr>
      <w:tr w:rsidR="00FD64B5" w:rsidRPr="00FD64B5" w14:paraId="24101730" w14:textId="77777777" w:rsidTr="00FD64B5">
        <w:trPr>
          <w:trHeight w:val="240"/>
        </w:trPr>
        <w:tc>
          <w:tcPr>
            <w:tcW w:w="4880" w:type="dxa"/>
            <w:gridSpan w:val="4"/>
            <w:tcBorders>
              <w:top w:val="single" w:sz="4" w:space="0" w:color="auto"/>
              <w:left w:val="nil"/>
              <w:bottom w:val="single" w:sz="12" w:space="0" w:color="auto"/>
              <w:right w:val="nil"/>
            </w:tcBorders>
            <w:vAlign w:val="center"/>
            <w:hideMark/>
          </w:tcPr>
          <w:p w14:paraId="4A77DC83" w14:textId="77777777" w:rsidR="00FD64B5" w:rsidRDefault="00FD64B5">
            <w:pPr>
              <w:spacing w:before="20" w:after="20"/>
              <w:rPr>
                <w:sz w:val="18"/>
                <w:szCs w:val="18"/>
              </w:rPr>
            </w:pPr>
            <w:r>
              <w:rPr>
                <w:sz w:val="18"/>
                <w:szCs w:val="18"/>
              </w:rPr>
              <w:t>Secretariat of the Minamata Convention on Mercury</w:t>
            </w:r>
          </w:p>
          <w:p w14:paraId="73535DC3" w14:textId="77777777" w:rsidR="00FD64B5" w:rsidRDefault="00FD64B5">
            <w:pPr>
              <w:spacing w:before="20" w:after="20"/>
              <w:rPr>
                <w:sz w:val="18"/>
                <w:szCs w:val="18"/>
                <w:lang w:val="fr-CH"/>
              </w:rPr>
            </w:pPr>
            <w:r>
              <w:rPr>
                <w:sz w:val="18"/>
                <w:szCs w:val="18"/>
                <w:lang w:val="fr-CH"/>
              </w:rPr>
              <w:t>United Nations Environment Programme (UNEP)</w:t>
            </w:r>
          </w:p>
          <w:p w14:paraId="6040E950" w14:textId="77777777" w:rsidR="00FD64B5" w:rsidRDefault="00FD64B5">
            <w:pPr>
              <w:spacing w:before="20" w:after="20"/>
              <w:rPr>
                <w:sz w:val="18"/>
                <w:szCs w:val="18"/>
                <w:lang w:val="fr-CH"/>
              </w:rPr>
            </w:pPr>
            <w:r>
              <w:rPr>
                <w:sz w:val="18"/>
                <w:szCs w:val="18"/>
                <w:lang w:val="fr-CH"/>
              </w:rPr>
              <w:t>International Environment House</w:t>
            </w:r>
          </w:p>
          <w:p w14:paraId="35439C6C" w14:textId="77777777" w:rsidR="00FD64B5" w:rsidRDefault="00FD64B5">
            <w:pPr>
              <w:spacing w:before="20" w:after="20"/>
              <w:rPr>
                <w:sz w:val="18"/>
                <w:szCs w:val="18"/>
                <w:lang w:val="fr-CH"/>
              </w:rPr>
            </w:pPr>
            <w:r>
              <w:rPr>
                <w:sz w:val="18"/>
                <w:szCs w:val="18"/>
                <w:lang w:val="fr-CH"/>
              </w:rPr>
              <w:t>11–13, Chemin des Anémones, CH–1219 Châtelaine, Geneva, Switzerland</w:t>
            </w:r>
          </w:p>
        </w:tc>
        <w:tc>
          <w:tcPr>
            <w:tcW w:w="3233" w:type="dxa"/>
            <w:gridSpan w:val="3"/>
            <w:tcBorders>
              <w:top w:val="single" w:sz="4" w:space="0" w:color="auto"/>
              <w:left w:val="nil"/>
              <w:bottom w:val="single" w:sz="12" w:space="0" w:color="auto"/>
              <w:right w:val="nil"/>
            </w:tcBorders>
            <w:vAlign w:val="center"/>
            <w:hideMark/>
          </w:tcPr>
          <w:p w14:paraId="7DD4A675" w14:textId="77777777" w:rsidR="00FD64B5" w:rsidRDefault="00FD64B5">
            <w:pPr>
              <w:rPr>
                <w:sz w:val="18"/>
                <w:szCs w:val="18"/>
                <w:lang w:val="fr-CH"/>
              </w:rPr>
            </w:pPr>
            <w:r>
              <w:rPr>
                <w:sz w:val="18"/>
                <w:szCs w:val="18"/>
                <w:lang w:val="fr-CH"/>
              </w:rPr>
              <w:t>Fax: +41 22 797 3460</w:t>
            </w:r>
          </w:p>
          <w:p w14:paraId="6202E4CA" w14:textId="77777777" w:rsidR="00FD64B5" w:rsidRDefault="00FD64B5">
            <w:pPr>
              <w:rPr>
                <w:sz w:val="18"/>
                <w:szCs w:val="18"/>
                <w:lang w:val="fr-CH"/>
              </w:rPr>
            </w:pPr>
            <w:r>
              <w:rPr>
                <w:sz w:val="18"/>
                <w:szCs w:val="18"/>
                <w:lang w:val="fr-CH"/>
              </w:rPr>
              <w:t>Email: mercury.chemicals@unep.org</w:t>
            </w:r>
          </w:p>
        </w:tc>
      </w:tr>
    </w:tbl>
    <w:p w14:paraId="1856654E" w14:textId="77777777" w:rsidR="00FD64B5" w:rsidRDefault="00FD64B5" w:rsidP="00FD64B5">
      <w:pPr>
        <w:pStyle w:val="CH2"/>
      </w:pPr>
      <w:r>
        <w:rPr>
          <w:lang w:val="fr-CH"/>
        </w:rPr>
        <w:tab/>
      </w:r>
      <w:r>
        <w:rPr>
          <w:lang w:val="fr-CH"/>
        </w:rPr>
        <w:tab/>
      </w:r>
      <w:r>
        <w:t>Proposed format for the register of exemptions from the phase-out dates listed in Part I of Annex A to the Minamata Convention on Mercury</w:t>
      </w:r>
    </w:p>
    <w:tbl>
      <w:tblPr>
        <w:tblW w:w="8970" w:type="dxa"/>
        <w:tblInd w:w="675" w:type="dxa"/>
        <w:tblBorders>
          <w:top w:val="single" w:sz="4" w:space="0" w:color="auto"/>
          <w:bottom w:val="single" w:sz="12" w:space="0" w:color="auto"/>
        </w:tblBorders>
        <w:tblLayout w:type="fixed"/>
        <w:tblLook w:val="04A0" w:firstRow="1" w:lastRow="0" w:firstColumn="1" w:lastColumn="0" w:noHBand="0" w:noVBand="1"/>
      </w:tblPr>
      <w:tblGrid>
        <w:gridCol w:w="1419"/>
        <w:gridCol w:w="3222"/>
        <w:gridCol w:w="2874"/>
        <w:gridCol w:w="1455"/>
      </w:tblGrid>
      <w:tr w:rsidR="00FD64B5" w14:paraId="3631F32C" w14:textId="77777777" w:rsidTr="00FD64B5">
        <w:trPr>
          <w:trHeight w:val="1115"/>
          <w:tblHeader/>
        </w:trPr>
        <w:tc>
          <w:tcPr>
            <w:tcW w:w="1418" w:type="dxa"/>
            <w:tcBorders>
              <w:top w:val="single" w:sz="4" w:space="0" w:color="auto"/>
              <w:left w:val="nil"/>
              <w:bottom w:val="single" w:sz="12" w:space="0" w:color="auto"/>
              <w:right w:val="nil"/>
            </w:tcBorders>
            <w:hideMark/>
          </w:tcPr>
          <w:p w14:paraId="45792525" w14:textId="77777777" w:rsidR="00FD64B5" w:rsidRDefault="00FD64B5">
            <w:pPr>
              <w:pStyle w:val="NormalWeb"/>
              <w:tabs>
                <w:tab w:val="left" w:pos="0"/>
              </w:tabs>
              <w:spacing w:before="20" w:after="20"/>
              <w:jc w:val="center"/>
              <w:rPr>
                <w:b/>
                <w:i/>
                <w:sz w:val="18"/>
                <w:szCs w:val="18"/>
              </w:rPr>
            </w:pPr>
            <w:r>
              <w:rPr>
                <w:b/>
                <w:i/>
                <w:sz w:val="18"/>
                <w:szCs w:val="18"/>
              </w:rPr>
              <w:t>Party</w:t>
            </w:r>
          </w:p>
        </w:tc>
        <w:tc>
          <w:tcPr>
            <w:tcW w:w="3220" w:type="dxa"/>
            <w:tcBorders>
              <w:top w:val="single" w:sz="4" w:space="0" w:color="auto"/>
              <w:left w:val="nil"/>
              <w:bottom w:val="single" w:sz="12" w:space="0" w:color="auto"/>
              <w:right w:val="nil"/>
            </w:tcBorders>
            <w:hideMark/>
          </w:tcPr>
          <w:p w14:paraId="5392E50A" w14:textId="77777777" w:rsidR="00FD64B5" w:rsidRDefault="00FD64B5">
            <w:pPr>
              <w:pStyle w:val="CommentText"/>
              <w:spacing w:before="20" w:after="20"/>
              <w:jc w:val="center"/>
              <w:rPr>
                <w:b/>
                <w:i/>
                <w:sz w:val="18"/>
                <w:szCs w:val="18"/>
              </w:rPr>
            </w:pPr>
            <w:r>
              <w:rPr>
                <w:b/>
                <w:i/>
                <w:sz w:val="18"/>
                <w:szCs w:val="18"/>
              </w:rPr>
              <w:t>Indicate the specific category/subcategory for which the exemption is registered and whether the exemption is for manufacture, import and/or export.</w:t>
            </w:r>
          </w:p>
        </w:tc>
        <w:tc>
          <w:tcPr>
            <w:tcW w:w="2872" w:type="dxa"/>
            <w:tcBorders>
              <w:top w:val="single" w:sz="4" w:space="0" w:color="auto"/>
              <w:left w:val="nil"/>
              <w:bottom w:val="single" w:sz="12" w:space="0" w:color="auto"/>
              <w:right w:val="nil"/>
            </w:tcBorders>
            <w:hideMark/>
          </w:tcPr>
          <w:p w14:paraId="4569A05A" w14:textId="77777777" w:rsidR="00FD64B5" w:rsidRDefault="00FD64B5">
            <w:pPr>
              <w:pStyle w:val="NormalWeb"/>
              <w:tabs>
                <w:tab w:val="left" w:pos="0"/>
              </w:tabs>
              <w:spacing w:before="20" w:after="20"/>
              <w:jc w:val="center"/>
              <w:rPr>
                <w:b/>
                <w:i/>
                <w:sz w:val="18"/>
                <w:szCs w:val="18"/>
              </w:rPr>
            </w:pPr>
            <w:r>
              <w:rPr>
                <w:b/>
                <w:i/>
                <w:sz w:val="18"/>
                <w:szCs w:val="18"/>
              </w:rPr>
              <w:t>Explanation for the exemption</w:t>
            </w:r>
          </w:p>
          <w:p w14:paraId="00396FDF" w14:textId="77777777" w:rsidR="00FD64B5" w:rsidRDefault="00FD64B5">
            <w:pPr>
              <w:pStyle w:val="NormalWeb"/>
              <w:tabs>
                <w:tab w:val="left" w:pos="0"/>
              </w:tabs>
              <w:spacing w:before="20" w:after="20"/>
              <w:jc w:val="center"/>
              <w:rPr>
                <w:i/>
                <w:sz w:val="18"/>
                <w:szCs w:val="18"/>
              </w:rPr>
            </w:pPr>
            <w:r>
              <w:rPr>
                <w:b/>
                <w:i/>
                <w:sz w:val="18"/>
                <w:szCs w:val="18"/>
              </w:rPr>
              <w:t>As provided</w:t>
            </w:r>
            <w:r>
              <w:rPr>
                <w:i/>
                <w:sz w:val="18"/>
                <w:szCs w:val="18"/>
              </w:rPr>
              <w:t xml:space="preserve"> (this would be a hyperlink to the statement as provided by the Party)</w:t>
            </w:r>
          </w:p>
        </w:tc>
        <w:tc>
          <w:tcPr>
            <w:tcW w:w="1454" w:type="dxa"/>
            <w:tcBorders>
              <w:top w:val="single" w:sz="4" w:space="0" w:color="auto"/>
              <w:left w:val="nil"/>
              <w:bottom w:val="single" w:sz="12" w:space="0" w:color="auto"/>
              <w:right w:val="nil"/>
            </w:tcBorders>
            <w:hideMark/>
          </w:tcPr>
          <w:p w14:paraId="368562F4" w14:textId="77777777" w:rsidR="00FD64B5" w:rsidRDefault="00FD64B5">
            <w:pPr>
              <w:pStyle w:val="NormalWeb"/>
              <w:tabs>
                <w:tab w:val="left" w:pos="0"/>
              </w:tabs>
              <w:spacing w:before="20" w:after="20"/>
              <w:jc w:val="center"/>
              <w:rPr>
                <w:b/>
                <w:i/>
                <w:sz w:val="18"/>
                <w:szCs w:val="18"/>
              </w:rPr>
            </w:pPr>
            <w:r>
              <w:rPr>
                <w:b/>
                <w:i/>
                <w:sz w:val="18"/>
                <w:szCs w:val="18"/>
              </w:rPr>
              <w:t>Expiry date for the exemption</w:t>
            </w:r>
            <w:r>
              <w:rPr>
                <w:b/>
                <w:i/>
                <w:sz w:val="18"/>
                <w:szCs w:val="18"/>
                <w:vertAlign w:val="superscript"/>
              </w:rPr>
              <w:t>a</w:t>
            </w:r>
          </w:p>
        </w:tc>
      </w:tr>
    </w:tbl>
    <w:p w14:paraId="354AC09E" w14:textId="77777777" w:rsidR="00FD64B5" w:rsidRDefault="00FD64B5" w:rsidP="00FD64B5">
      <w:pPr>
        <w:pStyle w:val="ZZAnxheader"/>
        <w:tabs>
          <w:tab w:val="clear" w:pos="1247"/>
          <w:tab w:val="left" w:pos="0"/>
        </w:tabs>
        <w:spacing w:before="20"/>
        <w:ind w:left="1247"/>
        <w:rPr>
          <w:b w:val="0"/>
          <w:sz w:val="16"/>
          <w:szCs w:val="16"/>
        </w:rPr>
      </w:pPr>
      <w:r>
        <w:rPr>
          <w:b w:val="0"/>
          <w:sz w:val="16"/>
          <w:szCs w:val="16"/>
          <w:vertAlign w:val="superscript"/>
        </w:rPr>
        <w:t xml:space="preserve">a  </w:t>
      </w:r>
      <w:r>
        <w:rPr>
          <w:b w:val="0"/>
          <w:sz w:val="16"/>
          <w:szCs w:val="16"/>
        </w:rPr>
        <w:t>Unless otherwise indicated by the Party, all exemptions expire five years after the relevant phase-out date listed in Part I of Annex A.</w:t>
      </w:r>
    </w:p>
    <w:p w14:paraId="0FCC3AE1" w14:textId="77777777" w:rsidR="00FD64B5" w:rsidRDefault="00FD64B5" w:rsidP="00FD64B5">
      <w:pPr>
        <w:pStyle w:val="CH2"/>
      </w:pPr>
      <w:r>
        <w:tab/>
      </w:r>
      <w:r>
        <w:tab/>
        <w:t>Proposed format for the register of exemptions from the phase-out dates listed in Part I of Annex B to the Minamata Convention on Mercury</w:t>
      </w:r>
    </w:p>
    <w:tbl>
      <w:tblPr>
        <w:tblW w:w="8970" w:type="dxa"/>
        <w:tblInd w:w="675" w:type="dxa"/>
        <w:tblBorders>
          <w:top w:val="single" w:sz="4" w:space="0" w:color="auto"/>
          <w:bottom w:val="single" w:sz="12" w:space="0" w:color="auto"/>
        </w:tblBorders>
        <w:tblLayout w:type="fixed"/>
        <w:tblLook w:val="04A0" w:firstRow="1" w:lastRow="0" w:firstColumn="1" w:lastColumn="0" w:noHBand="0" w:noVBand="1"/>
      </w:tblPr>
      <w:tblGrid>
        <w:gridCol w:w="1419"/>
        <w:gridCol w:w="3222"/>
        <w:gridCol w:w="2874"/>
        <w:gridCol w:w="1455"/>
      </w:tblGrid>
      <w:tr w:rsidR="00FD64B5" w14:paraId="7AF8B3B7" w14:textId="77777777" w:rsidTr="00FD64B5">
        <w:trPr>
          <w:trHeight w:val="955"/>
          <w:tblHeader/>
        </w:trPr>
        <w:tc>
          <w:tcPr>
            <w:tcW w:w="1418" w:type="dxa"/>
            <w:tcBorders>
              <w:top w:val="single" w:sz="4" w:space="0" w:color="auto"/>
              <w:left w:val="nil"/>
              <w:bottom w:val="single" w:sz="12" w:space="0" w:color="auto"/>
              <w:right w:val="nil"/>
            </w:tcBorders>
            <w:hideMark/>
          </w:tcPr>
          <w:p w14:paraId="28FB762C" w14:textId="77777777" w:rsidR="00FD64B5" w:rsidRDefault="00FD64B5">
            <w:pPr>
              <w:pStyle w:val="NormalWeb"/>
              <w:tabs>
                <w:tab w:val="left" w:pos="0"/>
              </w:tabs>
              <w:spacing w:before="20" w:after="20"/>
              <w:jc w:val="center"/>
              <w:rPr>
                <w:b/>
                <w:i/>
                <w:sz w:val="18"/>
                <w:szCs w:val="18"/>
              </w:rPr>
            </w:pPr>
            <w:r>
              <w:rPr>
                <w:b/>
                <w:i/>
                <w:sz w:val="18"/>
                <w:szCs w:val="18"/>
              </w:rPr>
              <w:t>Party</w:t>
            </w:r>
          </w:p>
        </w:tc>
        <w:tc>
          <w:tcPr>
            <w:tcW w:w="3220" w:type="dxa"/>
            <w:tcBorders>
              <w:top w:val="single" w:sz="4" w:space="0" w:color="auto"/>
              <w:left w:val="nil"/>
              <w:bottom w:val="single" w:sz="12" w:space="0" w:color="auto"/>
              <w:right w:val="nil"/>
            </w:tcBorders>
            <w:hideMark/>
          </w:tcPr>
          <w:p w14:paraId="51F144CF" w14:textId="77777777" w:rsidR="00FD64B5" w:rsidRDefault="00FD64B5">
            <w:pPr>
              <w:pStyle w:val="CommentText"/>
              <w:spacing w:before="20" w:after="20"/>
              <w:jc w:val="center"/>
              <w:rPr>
                <w:b/>
                <w:i/>
                <w:sz w:val="18"/>
                <w:szCs w:val="18"/>
              </w:rPr>
            </w:pPr>
            <w:r>
              <w:rPr>
                <w:b/>
                <w:i/>
                <w:sz w:val="18"/>
                <w:szCs w:val="18"/>
              </w:rPr>
              <w:t>Specific category/subcategory for which an exemption is registered</w:t>
            </w:r>
          </w:p>
        </w:tc>
        <w:tc>
          <w:tcPr>
            <w:tcW w:w="2872" w:type="dxa"/>
            <w:tcBorders>
              <w:top w:val="single" w:sz="4" w:space="0" w:color="auto"/>
              <w:left w:val="nil"/>
              <w:bottom w:val="single" w:sz="12" w:space="0" w:color="auto"/>
              <w:right w:val="nil"/>
            </w:tcBorders>
            <w:hideMark/>
          </w:tcPr>
          <w:p w14:paraId="2FE99656" w14:textId="77777777" w:rsidR="00FD64B5" w:rsidRDefault="00FD64B5">
            <w:pPr>
              <w:pStyle w:val="NormalWeb"/>
              <w:tabs>
                <w:tab w:val="left" w:pos="0"/>
              </w:tabs>
              <w:spacing w:before="20" w:after="20"/>
              <w:jc w:val="center"/>
              <w:rPr>
                <w:b/>
                <w:i/>
                <w:sz w:val="18"/>
                <w:szCs w:val="18"/>
              </w:rPr>
            </w:pPr>
            <w:r>
              <w:rPr>
                <w:b/>
                <w:i/>
                <w:sz w:val="18"/>
                <w:szCs w:val="18"/>
              </w:rPr>
              <w:t>Explanation for the exemption</w:t>
            </w:r>
          </w:p>
          <w:p w14:paraId="2F39329E" w14:textId="77777777" w:rsidR="00FD64B5" w:rsidRDefault="00FD64B5">
            <w:pPr>
              <w:pStyle w:val="NormalWeb"/>
              <w:tabs>
                <w:tab w:val="left" w:pos="0"/>
              </w:tabs>
              <w:spacing w:before="20" w:after="20"/>
              <w:jc w:val="center"/>
              <w:rPr>
                <w:i/>
                <w:sz w:val="18"/>
                <w:szCs w:val="18"/>
              </w:rPr>
            </w:pPr>
            <w:r>
              <w:rPr>
                <w:b/>
                <w:i/>
                <w:sz w:val="18"/>
                <w:szCs w:val="18"/>
              </w:rPr>
              <w:t>As provided</w:t>
            </w:r>
            <w:r>
              <w:rPr>
                <w:i/>
                <w:sz w:val="18"/>
                <w:szCs w:val="18"/>
              </w:rPr>
              <w:t xml:space="preserve"> (this would then be a hyperlink to the statement as provided by the Party)</w:t>
            </w:r>
          </w:p>
        </w:tc>
        <w:tc>
          <w:tcPr>
            <w:tcW w:w="1454" w:type="dxa"/>
            <w:tcBorders>
              <w:top w:val="single" w:sz="4" w:space="0" w:color="auto"/>
              <w:left w:val="nil"/>
              <w:bottom w:val="single" w:sz="12" w:space="0" w:color="auto"/>
              <w:right w:val="nil"/>
            </w:tcBorders>
            <w:hideMark/>
          </w:tcPr>
          <w:p w14:paraId="405794EA" w14:textId="77777777" w:rsidR="00FD64B5" w:rsidRDefault="00FD64B5">
            <w:pPr>
              <w:pStyle w:val="NormalWeb"/>
              <w:tabs>
                <w:tab w:val="left" w:pos="0"/>
              </w:tabs>
              <w:spacing w:before="20" w:after="20"/>
              <w:jc w:val="center"/>
              <w:rPr>
                <w:b/>
                <w:i/>
                <w:sz w:val="18"/>
                <w:szCs w:val="18"/>
              </w:rPr>
            </w:pPr>
            <w:r>
              <w:rPr>
                <w:b/>
                <w:i/>
                <w:sz w:val="18"/>
                <w:szCs w:val="18"/>
              </w:rPr>
              <w:t>Expiry date for the exemption</w:t>
            </w:r>
            <w:r>
              <w:rPr>
                <w:b/>
                <w:i/>
                <w:sz w:val="18"/>
                <w:szCs w:val="18"/>
                <w:vertAlign w:val="superscript"/>
              </w:rPr>
              <w:t>a</w:t>
            </w:r>
          </w:p>
        </w:tc>
      </w:tr>
    </w:tbl>
    <w:p w14:paraId="74A2DEE9" w14:textId="4C718CA3" w:rsidR="003F4DA7" w:rsidRPr="00FD64B5" w:rsidRDefault="00FD64B5" w:rsidP="00FD64B5">
      <w:pPr>
        <w:pStyle w:val="ZZAnxheader"/>
        <w:tabs>
          <w:tab w:val="clear" w:pos="1247"/>
          <w:tab w:val="left" w:pos="0"/>
        </w:tabs>
        <w:spacing w:before="120"/>
        <w:ind w:left="1247"/>
        <w:rPr>
          <w:b w:val="0"/>
          <w:sz w:val="16"/>
          <w:szCs w:val="16"/>
        </w:rPr>
      </w:pPr>
      <w:r>
        <w:rPr>
          <w:b w:val="0"/>
          <w:sz w:val="16"/>
          <w:szCs w:val="16"/>
          <w:vertAlign w:val="superscript"/>
        </w:rPr>
        <w:t xml:space="preserve">a </w:t>
      </w:r>
      <w:r>
        <w:rPr>
          <w:b w:val="0"/>
          <w:sz w:val="16"/>
          <w:szCs w:val="16"/>
        </w:rPr>
        <w:t>Unless otherwise indicated by the Party, all exemptions expire five years after the relevant phase-out date listed in Part I of Annex B.</w:t>
      </w:r>
    </w:p>
    <w:sectPr w:rsidR="003F4DA7" w:rsidRPr="00FD64B5"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62F4" w14:textId="77777777" w:rsidR="003C33E1" w:rsidRDefault="003C33E1">
      <w:r>
        <w:separator/>
      </w:r>
    </w:p>
  </w:endnote>
  <w:endnote w:type="continuationSeparator" w:id="0">
    <w:p w14:paraId="745C86C6" w14:textId="77777777" w:rsidR="003C33E1" w:rsidRDefault="003C33E1">
      <w:r>
        <w:continuationSeparator/>
      </w:r>
    </w:p>
  </w:endnote>
  <w:endnote w:type="continuationNotice" w:id="1">
    <w:p w14:paraId="73014F71" w14:textId="77777777" w:rsidR="003C33E1" w:rsidRDefault="003C3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D165" w14:textId="77777777" w:rsidR="003C33E1" w:rsidRPr="008D1ED6" w:rsidRDefault="003C33E1"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76FB708F" w14:textId="77777777" w:rsidR="003C33E1" w:rsidRDefault="003C33E1">
      <w:r>
        <w:continuationSeparator/>
      </w:r>
    </w:p>
  </w:footnote>
  <w:footnote w:type="continuationNotice" w:id="1">
    <w:p w14:paraId="2D9F4B8A" w14:textId="77777777" w:rsidR="003C33E1" w:rsidRDefault="003C33E1"/>
  </w:footnote>
  <w:footnote w:id="2">
    <w:p w14:paraId="24E06AE4" w14:textId="77777777" w:rsidR="00FD64B5" w:rsidRDefault="00FD64B5" w:rsidP="00FD64B5">
      <w:pPr>
        <w:pStyle w:val="FootnoteText"/>
        <w:tabs>
          <w:tab w:val="left" w:pos="624"/>
        </w:tabs>
        <w:rPr>
          <w:szCs w:val="18"/>
          <w:lang w:val="en-GB"/>
        </w:rPr>
      </w:pPr>
      <w:r>
        <w:rPr>
          <w:rStyle w:val="FootnoteReference"/>
        </w:rPr>
        <w:footnoteRef/>
      </w:r>
      <w:r>
        <w:rPr>
          <w:szCs w:val="18"/>
          <w:lang w:val="en-GB"/>
        </w:rPr>
        <w:t xml:space="preserve"> The intention is not to cover cosmetics, soaps or creams with trace contaminants of mercury.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68D9FBF"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r w:rsidR="001D2326">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2361B7C"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1D2326">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841FCD7"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1D2326">
      <w:rPr>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89314FC"/>
    <w:multiLevelType w:val="hybridMultilevel"/>
    <w:tmpl w:val="95A8B198"/>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num w:numId="1">
    <w:abstractNumId w:val="11"/>
  </w:num>
  <w:num w:numId="2">
    <w:abstractNumId w:val="2"/>
  </w:num>
  <w:num w:numId="3">
    <w:abstractNumId w:val="7"/>
  </w:num>
  <w:num w:numId="4">
    <w:abstractNumId w:val="1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6"/>
  </w:num>
  <w:num w:numId="6">
    <w:abstractNumId w:val="0"/>
  </w:num>
  <w:num w:numId="7">
    <w:abstractNumId w:val="4"/>
  </w:num>
  <w:num w:numId="8">
    <w:abstractNumId w:val="9"/>
  </w:num>
  <w:num w:numId="9">
    <w:abstractNumId w:val="3"/>
  </w:num>
  <w:num w:numId="10">
    <w:abstractNumId w:val="10"/>
  </w:num>
  <w:num w:numId="11">
    <w:abstractNumId w:val="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2326"/>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33E1"/>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4B5"/>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uiPriority w:val="99"/>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uiPriority w:val="99"/>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45">
      <w:bodyDiv w:val="1"/>
      <w:marLeft w:val="0"/>
      <w:marRight w:val="0"/>
      <w:marTop w:val="0"/>
      <w:marBottom w:val="0"/>
      <w:divBdr>
        <w:top w:val="none" w:sz="0" w:space="0" w:color="auto"/>
        <w:left w:val="none" w:sz="0" w:space="0" w:color="auto"/>
        <w:bottom w:val="none" w:sz="0" w:space="0" w:color="auto"/>
        <w:right w:val="none" w:sz="0" w:space="0" w:color="auto"/>
      </w:divBdr>
    </w:div>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2147F8A8-344D-4156-B49B-38BC01D7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7391</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