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6E356BEA" w:rsidR="008E5088" w:rsidRPr="002927A1" w:rsidRDefault="008E5088" w:rsidP="00801181">
            <w:pPr>
              <w:rPr>
                <w:sz w:val="18"/>
                <w:szCs w:val="18"/>
              </w:rPr>
            </w:pPr>
            <w:r w:rsidRPr="002927A1">
              <w:rPr>
                <w:b/>
                <w:bCs/>
                <w:sz w:val="28"/>
              </w:rPr>
              <w:t>UNEP</w:t>
            </w:r>
            <w:r w:rsidRPr="002927A1">
              <w:rPr>
                <w:b/>
                <w:bCs/>
              </w:rPr>
              <w:t>/</w:t>
            </w:r>
            <w:r w:rsidRPr="002927A1">
              <w:t>MC/COP.</w:t>
            </w:r>
            <w:r w:rsidR="00A03799">
              <w:t>1</w:t>
            </w:r>
            <w:r w:rsidRPr="002927A1">
              <w:t>/</w:t>
            </w:r>
            <w:r w:rsidR="001D2060">
              <w:t>Dec</w:t>
            </w:r>
            <w:r w:rsidR="00530A2C">
              <w:t>.</w:t>
            </w:r>
            <w:r w:rsidR="00863EA4">
              <w:t>10</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59496333" w:rsidR="008E5088" w:rsidRPr="002927A1" w:rsidRDefault="008E5088" w:rsidP="00801181">
            <w:pPr>
              <w:pStyle w:val="Normal-pool"/>
              <w:spacing w:before="120"/>
              <w:rPr>
                <w:lang w:val="es-ES_tradnl"/>
              </w:rPr>
            </w:pPr>
            <w:r w:rsidRPr="002927A1">
              <w:rPr>
                <w:lang w:val="es-ES_tradnl"/>
              </w:rPr>
              <w:t>Distr. general</w:t>
            </w:r>
            <w:r w:rsidRPr="002927A1">
              <w:rPr>
                <w:lang w:val="es-ES_tradnl"/>
              </w:rPr>
              <w:br/>
            </w:r>
            <w:r w:rsidR="00A03799">
              <w:rPr>
                <w:lang w:val="es-ES_tradnl"/>
              </w:rPr>
              <w:t>22</w:t>
            </w:r>
            <w:r w:rsidRPr="002927A1">
              <w:rPr>
                <w:lang w:val="es-ES_tradnl"/>
              </w:rPr>
              <w:t xml:space="preserve"> de </w:t>
            </w:r>
            <w:r w:rsidR="00A03799">
              <w:rPr>
                <w:lang w:val="es-ES_tradnl"/>
              </w:rPr>
              <w:t>noviembre</w:t>
            </w:r>
            <w:r w:rsidRPr="002927A1">
              <w:rPr>
                <w:lang w:val="es-ES_tradnl"/>
              </w:rPr>
              <w:t xml:space="preserve"> de </w:t>
            </w:r>
            <w:r w:rsidR="003739C1">
              <w:rPr>
                <w:lang w:val="es-ES_tradnl"/>
              </w:rPr>
              <w:t>201</w:t>
            </w:r>
            <w:r w:rsidR="00A03799">
              <w:rPr>
                <w:lang w:val="es-ES_tradnl"/>
              </w:rPr>
              <w:t>7</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529655E9" w:rsidR="005726B0" w:rsidRPr="002927A1" w:rsidRDefault="00A03799" w:rsidP="0086474A">
      <w:pPr>
        <w:pStyle w:val="AATitle"/>
        <w:keepNext w:val="0"/>
        <w:keepLines w:val="0"/>
        <w:rPr>
          <w:lang w:val="es-ES_tradnl"/>
        </w:rPr>
      </w:pPr>
      <w:r>
        <w:rPr>
          <w:lang w:val="es-ES_tradnl"/>
        </w:rPr>
        <w:t>Primer</w:t>
      </w:r>
      <w:r w:rsidR="005726B0" w:rsidRPr="002927A1">
        <w:rPr>
          <w:lang w:val="es-ES_tradnl"/>
        </w:rPr>
        <w:t>a reunión</w:t>
      </w:r>
    </w:p>
    <w:p w14:paraId="1E853587" w14:textId="30AC5387" w:rsidR="005726B0" w:rsidRPr="002927A1" w:rsidRDefault="005726B0" w:rsidP="0086474A">
      <w:pPr>
        <w:pStyle w:val="AATitle"/>
        <w:keepNext w:val="0"/>
        <w:keepLines w:val="0"/>
        <w:rPr>
          <w:b w:val="0"/>
          <w:lang w:val="es-ES_tradnl"/>
        </w:rPr>
      </w:pPr>
      <w:r w:rsidRPr="002927A1">
        <w:rPr>
          <w:b w:val="0"/>
          <w:lang w:val="es-ES_tradnl"/>
        </w:rPr>
        <w:t xml:space="preserve">Ginebra, </w:t>
      </w:r>
      <w:r w:rsidR="00A03799">
        <w:rPr>
          <w:b w:val="0"/>
          <w:lang w:val="es-ES_tradnl"/>
        </w:rPr>
        <w:t>24</w:t>
      </w:r>
      <w:r w:rsidRPr="002927A1">
        <w:rPr>
          <w:b w:val="0"/>
          <w:lang w:val="es-ES_tradnl"/>
        </w:rPr>
        <w:t xml:space="preserve"> a </w:t>
      </w:r>
      <w:r w:rsidR="003739C1">
        <w:rPr>
          <w:b w:val="0"/>
          <w:lang w:val="es-ES_tradnl"/>
        </w:rPr>
        <w:t>2</w:t>
      </w:r>
      <w:r w:rsidR="00A03799">
        <w:rPr>
          <w:b w:val="0"/>
          <w:lang w:val="es-ES_tradnl"/>
        </w:rPr>
        <w:t>9</w:t>
      </w:r>
      <w:r w:rsidRPr="002927A1">
        <w:rPr>
          <w:b w:val="0"/>
          <w:lang w:val="es-ES_tradnl"/>
        </w:rPr>
        <w:t xml:space="preserve"> de </w:t>
      </w:r>
      <w:r w:rsidR="00A03799">
        <w:rPr>
          <w:b w:val="0"/>
          <w:lang w:val="es-ES_tradnl"/>
        </w:rPr>
        <w:t>septiembre</w:t>
      </w:r>
      <w:r w:rsidRPr="002927A1">
        <w:rPr>
          <w:b w:val="0"/>
          <w:lang w:val="es-ES_tradnl"/>
        </w:rPr>
        <w:t xml:space="preserve"> de 201</w:t>
      </w:r>
      <w:r w:rsidR="00A03799">
        <w:rPr>
          <w:b w:val="0"/>
          <w:lang w:val="es-ES_tradnl"/>
        </w:rPr>
        <w:t>7</w:t>
      </w:r>
    </w:p>
    <w:p w14:paraId="699814FA" w14:textId="402C45BF" w:rsidR="0099003C" w:rsidRPr="002927A1" w:rsidRDefault="00530A2C" w:rsidP="0099003C">
      <w:pPr>
        <w:pStyle w:val="BBTitle"/>
        <w:rPr>
          <w:lang w:val="es-ES_tradnl"/>
        </w:rPr>
      </w:pPr>
      <w:r>
        <w:rPr>
          <w:bCs/>
          <w:lang w:val="es-ES_tradnl"/>
        </w:rPr>
        <w:t xml:space="preserve">Decisión adoptada por la </w:t>
      </w:r>
      <w:r w:rsidR="00A03799">
        <w:rPr>
          <w:bCs/>
          <w:lang w:val="es-ES_tradnl"/>
        </w:rPr>
        <w:t>primer</w:t>
      </w:r>
      <w:r>
        <w:rPr>
          <w:bCs/>
          <w:lang w:val="es-ES_tradnl"/>
        </w:rPr>
        <w:t>a</w:t>
      </w:r>
      <w:r w:rsidR="005726B0" w:rsidRPr="002927A1">
        <w:rPr>
          <w:bCs/>
          <w:lang w:val="es-ES_tradnl"/>
        </w:rPr>
        <w:t xml:space="preserve"> Conferencia de las Partes en el Convenio de Minamata sobre el Mercurio</w:t>
      </w:r>
    </w:p>
    <w:p w14:paraId="23DB6603" w14:textId="3168B222" w:rsidR="009C6954" w:rsidRDefault="009C6954" w:rsidP="009C6954">
      <w:pPr>
        <w:pStyle w:val="AATitle"/>
        <w:keepNext w:val="0"/>
        <w:keepLines w:val="0"/>
        <w:spacing w:before="240" w:after="120"/>
        <w:rPr>
          <w:lang w:val="es-ES_tradnl"/>
        </w:rPr>
      </w:pPr>
    </w:p>
    <w:p w14:paraId="0E76E9C3" w14:textId="77777777" w:rsidR="00863EA4" w:rsidRPr="001932F8" w:rsidRDefault="00863EA4" w:rsidP="00863EA4">
      <w:pPr>
        <w:pStyle w:val="Heading1"/>
      </w:pPr>
      <w:r w:rsidRPr="001932F8">
        <w:tab/>
      </w:r>
      <w:bookmarkStart w:id="1" w:name="_Toc505761136"/>
      <w:r>
        <w:t>MC</w:t>
      </w:r>
      <w:r w:rsidRPr="001932F8">
        <w:t>-1/10: Reglamento financiero de la Conferencia de las Partes en el Convenio de Minamata sobre el Mercurio y sus órganos subsidiarios, así como disposiciones financieras que han de regir el funcionamiento de la Secretaría del Convenio</w:t>
      </w:r>
      <w:bookmarkEnd w:id="1"/>
    </w:p>
    <w:p w14:paraId="02F28E9F" w14:textId="77777777" w:rsidR="00863EA4" w:rsidRPr="001932F8" w:rsidRDefault="00863EA4" w:rsidP="00863EA4">
      <w:pPr>
        <w:pStyle w:val="Normal-pool"/>
        <w:tabs>
          <w:tab w:val="clear" w:pos="1247"/>
          <w:tab w:val="clear" w:pos="1814"/>
          <w:tab w:val="clear" w:pos="2381"/>
          <w:tab w:val="clear" w:pos="2948"/>
          <w:tab w:val="clear" w:pos="3515"/>
          <w:tab w:val="clear" w:pos="4082"/>
        </w:tabs>
        <w:spacing w:after="120"/>
        <w:ind w:left="1247" w:firstLine="624"/>
        <w:rPr>
          <w:i/>
          <w:lang w:val="es-ES"/>
        </w:rPr>
      </w:pPr>
      <w:r w:rsidRPr="001932F8">
        <w:rPr>
          <w:i/>
          <w:lang w:val="es-ES"/>
        </w:rPr>
        <w:t>La Conferencia de las Partes,</w:t>
      </w:r>
    </w:p>
    <w:p w14:paraId="2E5626C1" w14:textId="77777777" w:rsidR="00863EA4" w:rsidRPr="001932F8" w:rsidRDefault="00863EA4" w:rsidP="00863EA4">
      <w:pPr>
        <w:pStyle w:val="Normal-pool"/>
        <w:tabs>
          <w:tab w:val="clear" w:pos="1247"/>
          <w:tab w:val="clear" w:pos="1814"/>
          <w:tab w:val="clear" w:pos="2381"/>
          <w:tab w:val="clear" w:pos="2948"/>
          <w:tab w:val="clear" w:pos="3515"/>
          <w:tab w:val="clear" w:pos="4082"/>
        </w:tabs>
        <w:spacing w:after="120"/>
        <w:ind w:left="1247" w:firstLine="624"/>
        <w:rPr>
          <w:i/>
          <w:lang w:val="es-ES"/>
        </w:rPr>
      </w:pPr>
      <w:r w:rsidRPr="001932F8">
        <w:rPr>
          <w:i/>
          <w:lang w:val="es-ES"/>
        </w:rPr>
        <w:t>Recordando</w:t>
      </w:r>
      <w:r w:rsidRPr="001932F8">
        <w:rPr>
          <w:lang w:val="es-ES"/>
        </w:rPr>
        <w:t xml:space="preserve"> el párrafo 4 del artículo 23 del Convenio de Minamata sobre el Mercurio,</w:t>
      </w:r>
    </w:p>
    <w:p w14:paraId="3A198E69" w14:textId="77777777" w:rsidR="00863EA4" w:rsidRPr="001932F8" w:rsidRDefault="00863EA4" w:rsidP="00863EA4">
      <w:pPr>
        <w:pStyle w:val="Normal-pool"/>
        <w:tabs>
          <w:tab w:val="clear" w:pos="1247"/>
          <w:tab w:val="clear" w:pos="1814"/>
          <w:tab w:val="clear" w:pos="2381"/>
          <w:tab w:val="clear" w:pos="2948"/>
          <w:tab w:val="clear" w:pos="3515"/>
          <w:tab w:val="clear" w:pos="4082"/>
        </w:tabs>
        <w:spacing w:after="120"/>
        <w:ind w:left="1247" w:firstLine="624"/>
        <w:rPr>
          <w:lang w:val="es-ES"/>
        </w:rPr>
      </w:pPr>
      <w:r w:rsidRPr="001932F8">
        <w:rPr>
          <w:i/>
          <w:lang w:val="es-ES"/>
        </w:rPr>
        <w:t>Decide aprobar</w:t>
      </w:r>
      <w:r w:rsidRPr="001932F8">
        <w:rPr>
          <w:lang w:val="es-ES"/>
        </w:rPr>
        <w:t xml:space="preserve"> el reglamento financiero de la Conferencia de las Partes y sus órganos subsidiarios, que figura en el anexo de la presente decisión.</w:t>
      </w:r>
    </w:p>
    <w:p w14:paraId="017929E4" w14:textId="77777777" w:rsidR="00863EA4" w:rsidRPr="001932F8" w:rsidRDefault="00863EA4" w:rsidP="00863EA4">
      <w:pPr>
        <w:pStyle w:val="ZZAnxheader"/>
        <w:spacing w:before="240" w:after="120"/>
        <w:rPr>
          <w:sz w:val="24"/>
          <w:lang w:val="es-ES"/>
        </w:rPr>
      </w:pPr>
      <w:r w:rsidRPr="001932F8">
        <w:rPr>
          <w:sz w:val="24"/>
          <w:lang w:val="es-ES"/>
        </w:rPr>
        <w:tab/>
        <w:t xml:space="preserve">Anexo de la decisión MC-1/10 </w:t>
      </w:r>
    </w:p>
    <w:p w14:paraId="2048B7D8" w14:textId="77777777" w:rsidR="00863EA4" w:rsidRPr="001932F8" w:rsidRDefault="00863EA4" w:rsidP="00863EA4">
      <w:pPr>
        <w:pStyle w:val="ZZAnxtitle"/>
        <w:tabs>
          <w:tab w:val="clear" w:pos="1247"/>
          <w:tab w:val="clear" w:pos="1814"/>
          <w:tab w:val="clear" w:pos="2381"/>
          <w:tab w:val="clear" w:pos="2948"/>
          <w:tab w:val="clear" w:pos="3515"/>
          <w:tab w:val="clear" w:pos="4082"/>
        </w:tabs>
        <w:spacing w:before="0"/>
        <w:rPr>
          <w:lang w:val="es-ES"/>
        </w:rPr>
      </w:pPr>
      <w:r w:rsidRPr="001932F8">
        <w:rPr>
          <w:sz w:val="24"/>
          <w:lang w:val="es-ES"/>
        </w:rPr>
        <w:t>Reglamento financiero de la Conferencia de las Partes, sus órganos subsidiarios y la Secretaría del Convenio de Minamata sobre el Mercurio</w:t>
      </w:r>
    </w:p>
    <w:p w14:paraId="20C18CCC" w14:textId="77777777" w:rsidR="00863EA4" w:rsidRPr="001932F8" w:rsidRDefault="00863EA4" w:rsidP="00863EA4">
      <w:pPr>
        <w:pStyle w:val="CH2"/>
        <w:tabs>
          <w:tab w:val="clear" w:pos="851"/>
          <w:tab w:val="clear" w:pos="1247"/>
          <w:tab w:val="clear" w:pos="1814"/>
          <w:tab w:val="clear" w:pos="2381"/>
          <w:tab w:val="clear" w:pos="2948"/>
          <w:tab w:val="clear" w:pos="3515"/>
          <w:tab w:val="clear" w:pos="4082"/>
        </w:tabs>
        <w:rPr>
          <w:sz w:val="20"/>
          <w:lang w:val="es-ES"/>
        </w:rPr>
      </w:pPr>
      <w:r w:rsidRPr="001932F8">
        <w:rPr>
          <w:lang w:val="es-ES"/>
        </w:rPr>
        <w:tab/>
      </w:r>
      <w:r w:rsidRPr="001932F8">
        <w:rPr>
          <w:sz w:val="20"/>
          <w:lang w:val="es-ES"/>
        </w:rPr>
        <w:tab/>
        <w:t>Ámbito de aplicación</w:t>
      </w:r>
    </w:p>
    <w:p w14:paraId="3C433D59" w14:textId="77777777" w:rsidR="00863EA4" w:rsidRPr="001932F8" w:rsidRDefault="00863EA4" w:rsidP="00863EA4">
      <w:pPr>
        <w:pStyle w:val="CH3"/>
        <w:tabs>
          <w:tab w:val="clear" w:pos="851"/>
          <w:tab w:val="clear" w:pos="1247"/>
          <w:tab w:val="clear" w:pos="1814"/>
          <w:tab w:val="clear" w:pos="2381"/>
          <w:tab w:val="clear" w:pos="2948"/>
          <w:tab w:val="clear" w:pos="3515"/>
          <w:tab w:val="clear" w:pos="4082"/>
        </w:tabs>
        <w:rPr>
          <w:lang w:val="es-ES"/>
        </w:rPr>
      </w:pPr>
      <w:r w:rsidRPr="001932F8">
        <w:rPr>
          <w:lang w:val="es-ES"/>
        </w:rPr>
        <w:tab/>
      </w:r>
      <w:r w:rsidRPr="001932F8">
        <w:rPr>
          <w:lang w:val="es-ES"/>
        </w:rPr>
        <w:tab/>
        <w:t>Artículo 1</w:t>
      </w:r>
    </w:p>
    <w:p w14:paraId="7A95493F"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El presente reglamento regirá la administración financiera de la Conferencia de las Partes en el Convenio de Minamata sobre el Mercurio, sus órganos subsidiarios y la Secretaría del Convenio. En relación con los asuntos que no se contemplen específicamente en el presente reglamento, serán de aplicación el Reglamento Financiero y la Reglamentación Financiera Detallada de las Naciones Unidas.</w:t>
      </w:r>
    </w:p>
    <w:p w14:paraId="4C27EA2D" w14:textId="77777777" w:rsidR="00863EA4" w:rsidRPr="001932F8" w:rsidRDefault="00863EA4" w:rsidP="00863EA4">
      <w:pPr>
        <w:pStyle w:val="CH2"/>
        <w:tabs>
          <w:tab w:val="clear" w:pos="851"/>
          <w:tab w:val="clear" w:pos="1247"/>
          <w:tab w:val="clear" w:pos="1814"/>
          <w:tab w:val="clear" w:pos="2381"/>
          <w:tab w:val="clear" w:pos="2948"/>
          <w:tab w:val="clear" w:pos="3515"/>
          <w:tab w:val="clear" w:pos="4082"/>
        </w:tabs>
        <w:rPr>
          <w:lang w:val="es-ES"/>
        </w:rPr>
      </w:pPr>
      <w:r w:rsidRPr="001932F8">
        <w:rPr>
          <w:lang w:val="es-ES"/>
        </w:rPr>
        <w:tab/>
      </w:r>
      <w:r w:rsidRPr="001932F8">
        <w:rPr>
          <w:lang w:val="es-ES"/>
        </w:rPr>
        <w:tab/>
        <w:t>Ejercicio financiero</w:t>
      </w:r>
    </w:p>
    <w:p w14:paraId="324F9697" w14:textId="77777777" w:rsidR="00863EA4" w:rsidRPr="001932F8" w:rsidRDefault="00863EA4" w:rsidP="00863EA4">
      <w:pPr>
        <w:pStyle w:val="CH3"/>
        <w:tabs>
          <w:tab w:val="clear" w:pos="851"/>
          <w:tab w:val="clear" w:pos="1247"/>
          <w:tab w:val="clear" w:pos="1814"/>
          <w:tab w:val="clear" w:pos="2381"/>
          <w:tab w:val="clear" w:pos="2948"/>
          <w:tab w:val="clear" w:pos="3515"/>
          <w:tab w:val="clear" w:pos="4082"/>
        </w:tabs>
        <w:rPr>
          <w:lang w:val="es-ES"/>
        </w:rPr>
      </w:pPr>
      <w:r w:rsidRPr="001932F8">
        <w:rPr>
          <w:lang w:val="es-ES"/>
        </w:rPr>
        <w:tab/>
      </w:r>
      <w:r w:rsidRPr="001932F8">
        <w:rPr>
          <w:lang w:val="es-ES"/>
        </w:rPr>
        <w:tab/>
        <w:t>Artículo 2</w:t>
      </w:r>
    </w:p>
    <w:p w14:paraId="3250FB51"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 xml:space="preserve">El ejercicio económico será un año civil. El programa de trabajo y el presupuesto bienales del Convenio de Minamata constarán normalmente de dos años civiles consecutivos, el primero de los cuales será un año par. </w:t>
      </w:r>
    </w:p>
    <w:p w14:paraId="67C631CF" w14:textId="77777777" w:rsidR="00863EA4" w:rsidRPr="001932F8" w:rsidRDefault="00863EA4" w:rsidP="00863EA4">
      <w:pPr>
        <w:pStyle w:val="CH2"/>
        <w:tabs>
          <w:tab w:val="clear" w:pos="851"/>
          <w:tab w:val="clear" w:pos="1247"/>
          <w:tab w:val="clear" w:pos="1814"/>
          <w:tab w:val="clear" w:pos="2381"/>
          <w:tab w:val="clear" w:pos="2948"/>
          <w:tab w:val="clear" w:pos="3515"/>
          <w:tab w:val="clear" w:pos="4082"/>
        </w:tabs>
        <w:rPr>
          <w:lang w:val="es-ES"/>
        </w:rPr>
      </w:pPr>
      <w:r w:rsidRPr="001932F8">
        <w:rPr>
          <w:lang w:val="es-ES"/>
        </w:rPr>
        <w:lastRenderedPageBreak/>
        <w:tab/>
      </w:r>
      <w:r w:rsidRPr="001932F8">
        <w:rPr>
          <w:lang w:val="es-ES"/>
        </w:rPr>
        <w:tab/>
        <w:t>Presupuesto</w:t>
      </w:r>
    </w:p>
    <w:p w14:paraId="3971B4CE" w14:textId="77777777" w:rsidR="00863EA4" w:rsidRPr="001932F8" w:rsidRDefault="00863EA4" w:rsidP="00863EA4">
      <w:pPr>
        <w:pStyle w:val="CH3"/>
        <w:tabs>
          <w:tab w:val="clear" w:pos="851"/>
          <w:tab w:val="clear" w:pos="1247"/>
          <w:tab w:val="clear" w:pos="1814"/>
          <w:tab w:val="clear" w:pos="2381"/>
          <w:tab w:val="clear" w:pos="2948"/>
          <w:tab w:val="clear" w:pos="3515"/>
          <w:tab w:val="clear" w:pos="4082"/>
        </w:tabs>
        <w:rPr>
          <w:lang w:val="es-ES"/>
        </w:rPr>
      </w:pPr>
      <w:r w:rsidRPr="001932F8">
        <w:rPr>
          <w:lang w:val="es-ES"/>
        </w:rPr>
        <w:tab/>
      </w:r>
      <w:r w:rsidRPr="001932F8">
        <w:rPr>
          <w:lang w:val="es-ES"/>
        </w:rPr>
        <w:tab/>
        <w:t>Artículo 3</w:t>
      </w:r>
    </w:p>
    <w:p w14:paraId="5A321E2C"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1.</w:t>
      </w:r>
      <w:r w:rsidRPr="001932F8">
        <w:rPr>
          <w:lang w:val="es-ES"/>
        </w:rPr>
        <w:tab/>
        <w:t>El jefe de la Secretaría del Convenio de Minamata sobre el Mercurio preparará las estimaciones presupuestarias para el siguiente bienio en dólares de los Estados Unidos indicando los ingresos y gastos proyectados para cada año. El presupuesto ha de presentarse en un formato programático coherente con el formato utilizado por las Secretarías del Convenio de Basilea sobre el Control de los Movimientos Transfronterizos de los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w:t>
      </w:r>
      <w:r w:rsidRPr="001932F8">
        <w:rPr>
          <w:rStyle w:val="FootnoteReference"/>
          <w:lang w:val="es-ES"/>
        </w:rPr>
        <w:footnoteReference w:id="2"/>
      </w:r>
      <w:r w:rsidRPr="001932F8">
        <w:rPr>
          <w:lang w:val="es-ES"/>
        </w:rPr>
        <w:t>. El jefe de la Secretaría remitirá las estimaciones, así como los ingresos y gastos reales de cada año del bienio precedente y las estimaciones de los gastos reales del bienio en curso, a todas las Partes en el Convenio, al menos 90 días antes de la apertura de la reunión de la Conferencia de las Partes en que haya de aprobarse el presupuesto.</w:t>
      </w:r>
    </w:p>
    <w:p w14:paraId="4FBC67EF"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2.</w:t>
      </w:r>
      <w:r w:rsidRPr="001932F8">
        <w:rPr>
          <w:lang w:val="es-ES"/>
        </w:rPr>
        <w:tab/>
        <w:t>Antes del comienzo del ejercicio financiero al que corresponde el presupuesto, la Conferencia de las Partes examinará las estimaciones presupuestarias y aprobará por consenso un presupuesto operacional en el que se autorizarán los gastos que no sean los gastos a que se hace referencia en los párrafos 3, 4 y 5 del artículo 4.</w:t>
      </w:r>
    </w:p>
    <w:p w14:paraId="09EC0F86"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3.</w:t>
      </w:r>
      <w:r w:rsidRPr="001932F8">
        <w:rPr>
          <w:lang w:val="es-ES"/>
        </w:rPr>
        <w:tab/>
        <w:t xml:space="preserve">El jefe de la Secretaría proporcionará a la Conferencia de las Partes estimaciones de los costos de las medidas que tienen consecuencias presupuestarias y que no están previstas en el proyecto de programa de </w:t>
      </w:r>
      <w:proofErr w:type="gramStart"/>
      <w:r w:rsidRPr="001932F8">
        <w:rPr>
          <w:lang w:val="es-ES"/>
        </w:rPr>
        <w:t>trabajo</w:t>
      </w:r>
      <w:proofErr w:type="gramEnd"/>
      <w:r w:rsidRPr="001932F8">
        <w:rPr>
          <w:lang w:val="es-ES"/>
        </w:rPr>
        <w:t xml:space="preserve"> aunque sí en propuestas de proyectos de decisiones, antes de que la Conferencia de las Partes adopte esas decisiones.</w:t>
      </w:r>
    </w:p>
    <w:p w14:paraId="401C3709"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4.</w:t>
      </w:r>
      <w:r w:rsidRPr="001932F8">
        <w:rPr>
          <w:lang w:val="es-ES"/>
        </w:rPr>
        <w:tab/>
        <w:t>La aprobación del presupuesto operacional por la Conferencia de las Partes constituirá la autoridad del jefe de la Secretaría para contraer obligaciones y realizar pagos para los fines con que se aprobaron las consignaciones y por una cuantía que no rebase las cantidades así aprobadas a condición siempre de que, a menos que la Conferencia de las Partes lo autorice expresamente, los compromisos estén respaldados por fondos recibidos.</w:t>
      </w:r>
    </w:p>
    <w:p w14:paraId="361D6D02" w14:textId="72CD2F46" w:rsidR="00863EA4"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5.</w:t>
      </w:r>
      <w:r w:rsidRPr="001932F8">
        <w:rPr>
          <w:lang w:val="es-ES"/>
        </w:rPr>
        <w:tab/>
        <w:t xml:space="preserve">El jefe de la Secretaría podrá hacer transferencias dentro de cada uno de los sectores de consignaciones principales del presupuesto operacional aprobado. El jefe de la Secretaría podrá también transferir de una partida a otra hasta un 20% de la partida principal desde la que se efectúe la transferencia, a menos que la Conferencia de las Partes establezca otro límite. </w:t>
      </w:r>
    </w:p>
    <w:p w14:paraId="7854BED9" w14:textId="78BC81D1" w:rsidR="00863EA4" w:rsidRPr="001932F8" w:rsidRDefault="00863EA4" w:rsidP="00863EA4">
      <w:pPr>
        <w:pStyle w:val="CH2"/>
        <w:tabs>
          <w:tab w:val="clear" w:pos="851"/>
          <w:tab w:val="clear" w:pos="1247"/>
          <w:tab w:val="clear" w:pos="1814"/>
          <w:tab w:val="clear" w:pos="2381"/>
          <w:tab w:val="clear" w:pos="2948"/>
          <w:tab w:val="clear" w:pos="3515"/>
          <w:tab w:val="clear" w:pos="4082"/>
        </w:tabs>
        <w:rPr>
          <w:lang w:val="es-ES"/>
        </w:rPr>
      </w:pPr>
      <w:r w:rsidRPr="001932F8">
        <w:rPr>
          <w:lang w:val="es-ES"/>
        </w:rPr>
        <w:tab/>
      </w:r>
      <w:r w:rsidRPr="001932F8">
        <w:rPr>
          <w:lang w:val="es-ES"/>
        </w:rPr>
        <w:tab/>
      </w:r>
      <w:r>
        <w:rPr>
          <w:lang w:val="es-ES"/>
        </w:rPr>
        <w:t>Fondos</w:t>
      </w:r>
    </w:p>
    <w:p w14:paraId="1184683B" w14:textId="7A31BBDD" w:rsidR="00863EA4" w:rsidRPr="001932F8" w:rsidRDefault="00863EA4" w:rsidP="00863EA4">
      <w:pPr>
        <w:pStyle w:val="NormalNonumber"/>
        <w:tabs>
          <w:tab w:val="clear" w:pos="1247"/>
          <w:tab w:val="clear" w:pos="1814"/>
          <w:tab w:val="clear" w:pos="2381"/>
          <w:tab w:val="clear" w:pos="2948"/>
          <w:tab w:val="clear" w:pos="3515"/>
          <w:tab w:val="clear" w:pos="4082"/>
        </w:tabs>
        <w:ind w:left="0"/>
        <w:rPr>
          <w:lang w:val="es-ES"/>
        </w:rPr>
      </w:pPr>
      <w:r w:rsidRPr="001932F8">
        <w:rPr>
          <w:lang w:val="es-ES"/>
        </w:rPr>
        <w:tab/>
      </w:r>
      <w:r w:rsidRPr="001932F8">
        <w:rPr>
          <w:lang w:val="es-ES"/>
        </w:rPr>
        <w:tab/>
        <w:t>Artículo 4</w:t>
      </w:r>
    </w:p>
    <w:p w14:paraId="1F9F6D10" w14:textId="77777777" w:rsidR="00863EA4" w:rsidRPr="001932F8" w:rsidRDefault="00863EA4" w:rsidP="00863EA4">
      <w:pPr>
        <w:pStyle w:val="NormalNonumber"/>
        <w:keepNext/>
        <w:keepLines/>
        <w:tabs>
          <w:tab w:val="clear" w:pos="1247"/>
          <w:tab w:val="clear" w:pos="1814"/>
          <w:tab w:val="clear" w:pos="2381"/>
          <w:tab w:val="clear" w:pos="2948"/>
          <w:tab w:val="clear" w:pos="3515"/>
          <w:tab w:val="clear" w:pos="4082"/>
        </w:tabs>
        <w:rPr>
          <w:lang w:val="es-ES"/>
        </w:rPr>
      </w:pPr>
      <w:r w:rsidRPr="001932F8">
        <w:rPr>
          <w:lang w:val="es-ES"/>
        </w:rPr>
        <w:t>1.</w:t>
      </w:r>
      <w:r w:rsidRPr="001932F8">
        <w:rPr>
          <w:lang w:val="es-ES"/>
        </w:rPr>
        <w:tab/>
        <w:t xml:space="preserve">El Director Ejecutivo del Programa de las Naciones Unidas para el Medio Ambiente establecerá un Fondo Fiduciario General para el Convenio de cuya administración se ocupará el jefe de la Secretaría. El objeto del Fondo es prestar apoyo financiero a la labor de la Secretaría del Convenio. Se acreditarán a ese fondo las contribuciones aportadas con arreglo a lo dispuesto en el párrafo 1 a) y b) del artículo 5. Se acreditarán a ese Fondo las contribuciones que aporte, con arreglo a lo dispuesto en el párrafo 1 f) del artículo 5, el Programa de las Naciones Unidas para el Medio Ambiente. Todos los gastos presupuestarios que se hagan de conformidad con el artículo 3, párrafo 4, del reglamento serán con cargo al Fondo Fiduciario General. </w:t>
      </w:r>
    </w:p>
    <w:p w14:paraId="4227B92F" w14:textId="77777777" w:rsidR="00863EA4" w:rsidRPr="001932F8" w:rsidRDefault="00863EA4" w:rsidP="00863EA4">
      <w:pPr>
        <w:pStyle w:val="NormalNonumber"/>
        <w:keepNext/>
        <w:keepLines/>
        <w:tabs>
          <w:tab w:val="clear" w:pos="1247"/>
          <w:tab w:val="clear" w:pos="1814"/>
          <w:tab w:val="clear" w:pos="2381"/>
          <w:tab w:val="clear" w:pos="2948"/>
          <w:tab w:val="clear" w:pos="3515"/>
          <w:tab w:val="clear" w:pos="4082"/>
        </w:tabs>
        <w:rPr>
          <w:lang w:val="es-ES"/>
        </w:rPr>
      </w:pPr>
      <w:r w:rsidRPr="001932F8">
        <w:rPr>
          <w:lang w:val="es-ES"/>
        </w:rPr>
        <w:t>2.</w:t>
      </w:r>
      <w:r w:rsidRPr="001932F8">
        <w:rPr>
          <w:lang w:val="es-ES"/>
        </w:rPr>
        <w:tab/>
        <w:t>Dentro del Fondo Fiduciario General se mantendrá una reserva de capital de operaciones a un nivel que determinará cada cierto tiempo la Conferencia de las Partes por consenso. El objeto de la reserva de capital de operaciones será garantizar la continuidad de las operaciones en caso de un déficit temporal de efectivo. Los montos extraídos contra la reserva de capital de operaciones se repondrán al nivel establecido lo antes posible y a más tardar a finales del año siguiente.</w:t>
      </w:r>
    </w:p>
    <w:p w14:paraId="08F806A9" w14:textId="77777777" w:rsidR="00863EA4" w:rsidRPr="001932F8" w:rsidRDefault="00863EA4" w:rsidP="00863EA4">
      <w:pPr>
        <w:pStyle w:val="NormalNonumber"/>
        <w:keepNext/>
        <w:keepLines/>
        <w:tabs>
          <w:tab w:val="clear" w:pos="1247"/>
          <w:tab w:val="clear" w:pos="1814"/>
          <w:tab w:val="clear" w:pos="2381"/>
          <w:tab w:val="clear" w:pos="2948"/>
          <w:tab w:val="clear" w:pos="3515"/>
          <w:tab w:val="clear" w:pos="4082"/>
        </w:tabs>
        <w:rPr>
          <w:lang w:val="es-ES"/>
        </w:rPr>
      </w:pPr>
      <w:r w:rsidRPr="001932F8">
        <w:rPr>
          <w:lang w:val="es-ES"/>
        </w:rPr>
        <w:t>3.</w:t>
      </w:r>
      <w:r w:rsidRPr="001932F8">
        <w:rPr>
          <w:lang w:val="es-ES"/>
        </w:rPr>
        <w:tab/>
        <w:t>El Director Ejecutivo del Programa de las Naciones Unidas para el Medio Ambiente establecerá un Fondo Fiduciario Especial de cuya gestión se ocupará el jefe de la Secretaría. A este Fondo se aportarán contribuciones hechas de conformidad con los párrafos 1 c) a 1 e) del artículo 5 para apoyar, en particular:</w:t>
      </w:r>
    </w:p>
    <w:p w14:paraId="2E2438EB"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a)</w:t>
      </w:r>
      <w:r w:rsidRPr="001932F8">
        <w:rPr>
          <w:lang w:val="es-ES"/>
        </w:rPr>
        <w:tab/>
        <w:t>Las actividades de la Secretaría del Convenio de Minamata de conformidad con el artículo 14;</w:t>
      </w:r>
    </w:p>
    <w:p w14:paraId="3EA859B3"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lastRenderedPageBreak/>
        <w:t>b)</w:t>
      </w:r>
      <w:r w:rsidRPr="001932F8">
        <w:rPr>
          <w:lang w:val="es-ES"/>
        </w:rPr>
        <w:tab/>
        <w:t>La participación de representantes de las Partes que sean países en desarrollo, en particular las Partes que sean países menos adelantados y pequeños Estados insulares en desarrollo, y de las Partes que sean países con economías en transición en las reuniones de la Conferencia de las Partes y de sus órganos subsidiarios de conformidad con el procedimiento estipulado en el anexo del reglamento financiero;</w:t>
      </w:r>
    </w:p>
    <w:p w14:paraId="5B86090F"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c)</w:t>
      </w:r>
      <w:r w:rsidRPr="001932F8">
        <w:rPr>
          <w:lang w:val="es-ES"/>
        </w:rPr>
        <w:tab/>
        <w:t>Otros fines apropiados compatibles con los objetivos del Convenio.</w:t>
      </w:r>
    </w:p>
    <w:p w14:paraId="401666E8" w14:textId="77777777" w:rsidR="00863EA4" w:rsidRPr="001932F8" w:rsidRDefault="00863EA4" w:rsidP="00863EA4">
      <w:pPr>
        <w:pStyle w:val="NormalNonumber"/>
        <w:keepNext/>
        <w:keepLines/>
        <w:tabs>
          <w:tab w:val="clear" w:pos="1247"/>
          <w:tab w:val="clear" w:pos="1814"/>
          <w:tab w:val="clear" w:pos="2381"/>
          <w:tab w:val="clear" w:pos="2948"/>
          <w:tab w:val="clear" w:pos="3515"/>
          <w:tab w:val="clear" w:pos="4082"/>
        </w:tabs>
        <w:rPr>
          <w:lang w:val="es-ES"/>
        </w:rPr>
      </w:pPr>
      <w:r w:rsidRPr="001932F8">
        <w:rPr>
          <w:lang w:val="es-ES"/>
        </w:rPr>
        <w:t>4.</w:t>
      </w:r>
      <w:r w:rsidRPr="001932F8">
        <w:rPr>
          <w:lang w:val="es-ES"/>
        </w:rPr>
        <w:tab/>
        <w:t>El Director Ejecutivo del Programa de las Naciones Unidas para el Medio Ambiente establecerá un fondo fiduciario específico para el programa internacional específico, con el que se prestará apoyo a la creación de capacidad y la asistencia técnica de conformidad con el artículo 13.</w:t>
      </w:r>
    </w:p>
    <w:p w14:paraId="36769FAF" w14:textId="77777777" w:rsidR="00863EA4" w:rsidRPr="001932F8" w:rsidRDefault="00863EA4" w:rsidP="00863EA4">
      <w:pPr>
        <w:pStyle w:val="NormalNonumber"/>
        <w:keepNext/>
        <w:keepLines/>
        <w:tabs>
          <w:tab w:val="clear" w:pos="1247"/>
          <w:tab w:val="clear" w:pos="1814"/>
          <w:tab w:val="clear" w:pos="2381"/>
          <w:tab w:val="clear" w:pos="2948"/>
          <w:tab w:val="clear" w:pos="3515"/>
          <w:tab w:val="clear" w:pos="4082"/>
        </w:tabs>
        <w:rPr>
          <w:lang w:val="es-ES"/>
        </w:rPr>
      </w:pPr>
      <w:r w:rsidRPr="001932F8">
        <w:rPr>
          <w:lang w:val="es-ES"/>
        </w:rPr>
        <w:t>5.</w:t>
      </w:r>
      <w:r w:rsidRPr="001932F8">
        <w:rPr>
          <w:lang w:val="es-ES"/>
        </w:rPr>
        <w:tab/>
        <w:t>Con sujeción a la aprobación de la Conferencia de las Partes, el Director Ejecutivo del Programa de las Naciones Unidas para el Medio Ambiente podrá establecer otros fondos fiduciarios, siempre que sean compatibles con los objetivos del Convenio.</w:t>
      </w:r>
    </w:p>
    <w:p w14:paraId="7FD8C866" w14:textId="77777777" w:rsidR="00863EA4" w:rsidRPr="001932F8" w:rsidRDefault="00863EA4" w:rsidP="00863EA4">
      <w:pPr>
        <w:pStyle w:val="NormalNonumber"/>
        <w:keepNext/>
        <w:keepLines/>
        <w:tabs>
          <w:tab w:val="clear" w:pos="1247"/>
          <w:tab w:val="clear" w:pos="1814"/>
          <w:tab w:val="clear" w:pos="2381"/>
          <w:tab w:val="clear" w:pos="2948"/>
          <w:tab w:val="clear" w:pos="3515"/>
          <w:tab w:val="clear" w:pos="4082"/>
        </w:tabs>
        <w:rPr>
          <w:lang w:val="es-ES"/>
        </w:rPr>
      </w:pPr>
      <w:r w:rsidRPr="001932F8">
        <w:rPr>
          <w:lang w:val="es-ES"/>
        </w:rPr>
        <w:t>6.</w:t>
      </w:r>
      <w:r w:rsidRPr="001932F8">
        <w:rPr>
          <w:lang w:val="es-ES"/>
        </w:rPr>
        <w:tab/>
        <w:t>Si la Conferencia de las Partes decide dar por terminado un fondo fiduciario establecido en virtud del presente reglamento, informará al respecto al Director Ejecutivo del Programa de las Naciones Unidas para el Medio Ambiente al menos con seis meses de antelación a la fecha de terminación que se haya decidido. La Conferencia de las Partes, en consulta con el Director Ejecutivo del Programa de las Naciones Unidas para el Medio Ambiente, adoptará una decisión respecto de la distribución de cualesquiera saldos disponibles después de que se hayan satisfecho todos los gastos de liquidación.</w:t>
      </w:r>
    </w:p>
    <w:p w14:paraId="3A8CEA5D" w14:textId="77777777" w:rsidR="00863EA4" w:rsidRPr="001932F8" w:rsidRDefault="00863EA4" w:rsidP="00863EA4">
      <w:pPr>
        <w:pStyle w:val="CH2"/>
        <w:tabs>
          <w:tab w:val="clear" w:pos="851"/>
          <w:tab w:val="clear" w:pos="1247"/>
          <w:tab w:val="clear" w:pos="1814"/>
          <w:tab w:val="clear" w:pos="2381"/>
          <w:tab w:val="clear" w:pos="2948"/>
          <w:tab w:val="clear" w:pos="3515"/>
          <w:tab w:val="clear" w:pos="4082"/>
        </w:tabs>
        <w:rPr>
          <w:lang w:val="es-ES"/>
        </w:rPr>
      </w:pPr>
      <w:r w:rsidRPr="001932F8">
        <w:rPr>
          <w:lang w:val="es-ES"/>
        </w:rPr>
        <w:tab/>
      </w:r>
      <w:r w:rsidRPr="001932F8">
        <w:rPr>
          <w:lang w:val="es-ES"/>
        </w:rPr>
        <w:tab/>
        <w:t>Contribuciones</w:t>
      </w:r>
    </w:p>
    <w:p w14:paraId="4B07CE9F" w14:textId="77777777" w:rsidR="00863EA4" w:rsidRPr="001932F8" w:rsidRDefault="00863EA4" w:rsidP="00863EA4">
      <w:pPr>
        <w:pStyle w:val="CH3"/>
        <w:tabs>
          <w:tab w:val="clear" w:pos="851"/>
          <w:tab w:val="clear" w:pos="1247"/>
          <w:tab w:val="clear" w:pos="1814"/>
          <w:tab w:val="clear" w:pos="2381"/>
          <w:tab w:val="clear" w:pos="2948"/>
          <w:tab w:val="clear" w:pos="3515"/>
          <w:tab w:val="clear" w:pos="4082"/>
        </w:tabs>
        <w:rPr>
          <w:lang w:val="es-ES"/>
        </w:rPr>
      </w:pPr>
      <w:r w:rsidRPr="001932F8">
        <w:rPr>
          <w:lang w:val="es-ES"/>
        </w:rPr>
        <w:tab/>
      </w:r>
      <w:r w:rsidRPr="001932F8">
        <w:rPr>
          <w:lang w:val="es-ES"/>
        </w:rPr>
        <w:tab/>
        <w:t>Artículo 5</w:t>
      </w:r>
    </w:p>
    <w:p w14:paraId="058E85A1"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1.</w:t>
      </w:r>
      <w:r w:rsidRPr="001932F8">
        <w:rPr>
          <w:lang w:val="es-ES"/>
        </w:rPr>
        <w:tab/>
        <w:t xml:space="preserve">Los recursos de la Conferencia de las Partes estarán constituidos por: </w:t>
      </w:r>
    </w:p>
    <w:p w14:paraId="47A91920"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a)</w:t>
      </w:r>
      <w:r w:rsidRPr="001932F8">
        <w:rPr>
          <w:lang w:val="es-ES"/>
        </w:rPr>
        <w:tab/>
        <w:t>Contribuciones aportadas cada año por las Partes sobre la base de una escala indicativa aprobada por consenso por la Conferencia de las Partes y basada en la escala de cuotas de las Naciones Unidas que cada cierto tiempo apruebe la Asamblea General, ajustada de forma que ninguna Parte aporte una contribución inferior al 0,01% del total o superior al 22% del total y que la contribución de ninguna Parte que sea un país menos adelantado sobrepase el 0,01% del total;</w:t>
      </w:r>
    </w:p>
    <w:p w14:paraId="3D35BDD6"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rStyle w:val="Inget"/>
          <w:b/>
          <w:bCs/>
          <w:lang w:val="es-ES"/>
        </w:rPr>
      </w:pPr>
      <w:r w:rsidRPr="001932F8">
        <w:rPr>
          <w:lang w:val="es-ES"/>
        </w:rPr>
        <w:t>b)</w:t>
      </w:r>
      <w:r w:rsidRPr="001932F8">
        <w:rPr>
          <w:lang w:val="es-ES"/>
        </w:rPr>
        <w:tab/>
        <w:t xml:space="preserve">El 60% de las contribuciones de uso general aportadas cada año por el Gobierno que acoge la Secretaría del Convenio; </w:t>
      </w:r>
    </w:p>
    <w:p w14:paraId="51C09315"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c)</w:t>
      </w:r>
      <w:r w:rsidRPr="001932F8">
        <w:rPr>
          <w:lang w:val="es-ES"/>
        </w:rPr>
        <w:tab/>
        <w:t>El 40% restante de las contribuciones de uso general aportadas cada año por el Gobierno que acoge la Secretaría del Convenio, a las que se dará prioridad a los fines enunciados en el párrafo 3 b) del artículo 4;</w:t>
      </w:r>
    </w:p>
    <w:p w14:paraId="63D76C63"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d)</w:t>
      </w:r>
      <w:r w:rsidRPr="001932F8">
        <w:rPr>
          <w:lang w:val="es-ES"/>
        </w:rPr>
        <w:tab/>
        <w:t>Las contribuciones aportadas cada año por las Partes además de las efectuadas con arreglo a lo dispuesto en los párrafos a) a c);</w:t>
      </w:r>
    </w:p>
    <w:p w14:paraId="5A65F10C"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e)</w:t>
      </w:r>
      <w:r w:rsidRPr="001932F8">
        <w:rPr>
          <w:lang w:val="es-ES"/>
        </w:rPr>
        <w:tab/>
        <w:t>Contribuciones de Estados que no sean Partes en el Convenio, así como de organizaciones gubernamentales, intergubernamentales y no gubernamentales y otras fuentes;</w:t>
      </w:r>
    </w:p>
    <w:p w14:paraId="13DD4675"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f)</w:t>
      </w:r>
      <w:r w:rsidRPr="001932F8">
        <w:rPr>
          <w:lang w:val="es-ES"/>
        </w:rPr>
        <w:tab/>
        <w:t>El saldo disponible de los ingresos recibidos correspondientes a ejercicios financieros anteriores;</w:t>
      </w:r>
    </w:p>
    <w:p w14:paraId="2AE4BBF7"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g)</w:t>
      </w:r>
      <w:r w:rsidRPr="001932F8">
        <w:rPr>
          <w:lang w:val="es-ES"/>
        </w:rPr>
        <w:tab/>
        <w:t>Ingresos varios.</w:t>
      </w:r>
    </w:p>
    <w:p w14:paraId="240BB4D2"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2.</w:t>
      </w:r>
      <w:r w:rsidRPr="001932F8">
        <w:rPr>
          <w:lang w:val="es-ES"/>
        </w:rPr>
        <w:tab/>
        <w:t>Al adoptar la escala indicativa de contribuciones que se menciona en el párrafo 1 a) del artículo 5, la Conferencia de las Partes hará ajustes para tener en cuenta las contribuciones de las Partes que no son miembros de las Naciones Unidas, así como las organizaciones de integración económica regional que sean Partes.</w:t>
      </w:r>
    </w:p>
    <w:p w14:paraId="702497B4"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3.</w:t>
      </w:r>
      <w:r w:rsidRPr="001932F8">
        <w:rPr>
          <w:lang w:val="es-ES"/>
        </w:rPr>
        <w:tab/>
        <w:t xml:space="preserve">Respecto de las contribuciones aportadas con arreglo a lo dispuesto en el párrafo 1 a) del artículo 5: </w:t>
      </w:r>
    </w:p>
    <w:p w14:paraId="46DCD62B"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a)</w:t>
      </w:r>
      <w:r w:rsidRPr="001932F8">
        <w:rPr>
          <w:lang w:val="es-ES"/>
        </w:rPr>
        <w:tab/>
        <w:t>Se supone que las contribuciones correspondientes a cada año civil se harán efectivas el 1 de enero de ese año y se pagarán a tiempo y en su totalidad. Se debería notificar a las Partes el monto de sus contribuciones correspondientes a un año determinado antes del 15 de octubre del año anterior;</w:t>
      </w:r>
    </w:p>
    <w:p w14:paraId="2110FA2D"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b)</w:t>
      </w:r>
      <w:r w:rsidRPr="001932F8">
        <w:rPr>
          <w:lang w:val="es-ES"/>
        </w:rPr>
        <w:tab/>
        <w:t xml:space="preserve">Cada Parte informará al jefe de la Secretaría, con la mayor antelación posible a la fecha en que sea pagadera su contribución, de la contribución que tiene previsto aportar y del momento en que tenga previsto hacerla efectiva; </w:t>
      </w:r>
    </w:p>
    <w:p w14:paraId="235A5FEC"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lastRenderedPageBreak/>
        <w:t>c)</w:t>
      </w:r>
      <w:r w:rsidRPr="001932F8">
        <w:rPr>
          <w:lang w:val="es-ES"/>
        </w:rPr>
        <w:tab/>
        <w:t>Si las contribuciones de alguna Parte no se han recibido hasta el 31 diciembre del año correspondiente, el jefe de la Secretaría se dirigirá por escrito a las Partes para comunicar la importancia de pagar las contribuciones pendientes correspondientes a ejercicios financieros anteriores y presentará un informe a la Conferencia de las Partes en su próxima reunión sobre las consultas que haya realizado con esas Partes;</w:t>
      </w:r>
    </w:p>
    <w:p w14:paraId="5D1EB6D3"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d)</w:t>
      </w:r>
      <w:r w:rsidRPr="001932F8">
        <w:rPr>
          <w:lang w:val="es-ES"/>
        </w:rPr>
        <w:tab/>
        <w:t xml:space="preserve">Si las contribuciones de alguna de las Partes no se han recibido al cabo de dos años o más, el jefe de la Secretaría decidirá </w:t>
      </w:r>
      <w:proofErr w:type="gramStart"/>
      <w:r w:rsidRPr="001932F8">
        <w:rPr>
          <w:lang w:val="es-ES"/>
        </w:rPr>
        <w:t>conjuntamente con</w:t>
      </w:r>
      <w:proofErr w:type="gramEnd"/>
      <w:r w:rsidRPr="001932F8">
        <w:rPr>
          <w:lang w:val="es-ES"/>
        </w:rPr>
        <w:t xml:space="preserve"> toda Parte que no tenga contribuciones pendientes establecer un calendario de pago que permita a esa Parte liquidar las contribuciones pendientes en un plazo de seis años, según la situación financiera de la Parte, y pagar las contribuciones futuras con prontitud. El jefe de la Secretaría presentará un informe a la Mesa y a la Conferencia de las Partes en sus próximas reuniones sobre los adelantos realizados en el marco de los calendarios fijados a tal fin;</w:t>
      </w:r>
    </w:p>
    <w:p w14:paraId="7E58B189"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e)</w:t>
      </w:r>
      <w:r w:rsidRPr="001932F8">
        <w:rPr>
          <w:lang w:val="es-ES"/>
        </w:rPr>
        <w:tab/>
        <w:t>Si el calendario de pagos no se decide conjuntamente o se cumple, la Conferencia de las Partes decidirá las medidas correspondientes, teniendo en cuenta las necesidades específicas y las circunstancias especiales de los [países en desarrollo, en particular] los países menos adelantados o pequeños Estados insulares en desarrollo;</w:t>
      </w:r>
    </w:p>
    <w:p w14:paraId="2B9FE2C3"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f)</w:t>
      </w:r>
      <w:r w:rsidRPr="001932F8">
        <w:rPr>
          <w:lang w:val="es-ES"/>
        </w:rPr>
        <w:tab/>
        <w:t>Habida cuenta de la importancia de una participación plena y efectiva de las Partes que son países en desarrollo, en particular los países menos adelantados y los pequeños Estados insulares en desarrollo, y las Partes con economías en transición, el jefe de la Secretaría recordará a las Partes la necesidad de que aporten contribuciones al Fondo Fiduciario Especial por lo menos seis meses antes de la celebración de cada una de las reuniones ordinarias de la Conferencia de las Partes, teniendo en cuenta las necesidades financieras, e instará a las Partes que estén en posición de hacerlo a que garanticen que todas las contribuciones se hagan efectivas por lo menos tres meses antes de la reunión.</w:t>
      </w:r>
    </w:p>
    <w:p w14:paraId="2FCB0E69"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4.</w:t>
      </w:r>
      <w:r w:rsidRPr="001932F8">
        <w:rPr>
          <w:lang w:val="es-ES"/>
        </w:rPr>
        <w:tab/>
        <w:t>Las contribuciones aportadas con arreglo a lo dispuesto en los párrafos 1 d) y e) del artículo 5 se utilizarán de acuerdo con los términos y condiciones compatibles con los objetivos del Convenio y con el Reglamento Financiero y la Reglamentación Financiera Detallada de las Naciones Unidas que acuerden el jefe de la Secretaría y los contribuyentes.</w:t>
      </w:r>
    </w:p>
    <w:p w14:paraId="1BF49522"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5.</w:t>
      </w:r>
      <w:r w:rsidRPr="001932F8">
        <w:rPr>
          <w:lang w:val="es-ES"/>
        </w:rPr>
        <w:tab/>
        <w:t xml:space="preserve">Las contribuciones aportadas con arreglo a lo dispuesto en el párrafo 1 a) del artículo 5 por Estados y organizaciones de integración económica regional que pasen a ser Partes en el Convenio después de iniciado </w:t>
      </w:r>
      <w:proofErr w:type="gramStart"/>
      <w:r w:rsidRPr="001932F8">
        <w:rPr>
          <w:lang w:val="es-ES"/>
        </w:rPr>
        <w:t>un ejercicio financiero se prorratearán</w:t>
      </w:r>
      <w:proofErr w:type="gramEnd"/>
      <w:r w:rsidRPr="001932F8">
        <w:rPr>
          <w:lang w:val="es-ES"/>
        </w:rPr>
        <w:t xml:space="preserve"> para el resto de ese ejercicio financiero. Al final de cada ejercicio financiero se harán los ajustes correspondientes para las demás Partes.</w:t>
      </w:r>
    </w:p>
    <w:p w14:paraId="1109FBAB"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6.</w:t>
      </w:r>
      <w:r w:rsidRPr="001932F8">
        <w:rPr>
          <w:lang w:val="es-ES"/>
        </w:rPr>
        <w:tab/>
        <w:t>Pese a lo que se establece en el párrafo 3 del artículo 4, el fondo fiduciario específico estará abierto a las contribuciones de los signatarios, las Partes y los Estados que no sean Partes que estén capacitados para ello, así como a las del sector privado, incluida la industria, las fundaciones, otras organizaciones no gubernamentales y otros interesados.</w:t>
      </w:r>
    </w:p>
    <w:p w14:paraId="47087915"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left="1248" w:firstLine="1"/>
        <w:rPr>
          <w:lang w:val="es-ES"/>
        </w:rPr>
      </w:pPr>
      <w:r w:rsidRPr="001932F8">
        <w:rPr>
          <w:lang w:val="es-ES"/>
        </w:rPr>
        <w:t>7.</w:t>
      </w:r>
      <w:r w:rsidRPr="001932F8">
        <w:rPr>
          <w:lang w:val="es-ES"/>
        </w:rPr>
        <w:tab/>
        <w:t>Todas las contribuciones se depositarán en dólares de los Estados Unidos o su equivalente en una divisa convertible. Se depositarán en una cuenta bancaria especificada por el Director Ejecutivo del Programa de las Naciones Unidas para el Medio Ambiente, en consulta con el jefe de la Secretaría. Para la conversión en dólares se empleará el tipo de cambio operacional de las Naciones Unidas.</w:t>
      </w:r>
    </w:p>
    <w:p w14:paraId="2B19E9AE"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8.</w:t>
      </w:r>
      <w:r w:rsidRPr="001932F8">
        <w:rPr>
          <w:lang w:val="es-ES"/>
        </w:rPr>
        <w:tab/>
        <w:t>El jefe de la Secretaría acusará recibo sin demora de todas las promesas y contribuciones e informará a las Partes del estado de las promesas de contribuciones y de su pago publicando información actualizada en el sitio del Convenio en la web.</w:t>
      </w:r>
    </w:p>
    <w:p w14:paraId="1C2683E4"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9.</w:t>
      </w:r>
      <w:r w:rsidRPr="001932F8">
        <w:rPr>
          <w:lang w:val="es-ES"/>
        </w:rPr>
        <w:tab/>
        <w:t>Las contribuciones que no sean inmediatamente necesarias se invertirán, de conformidad con las normas de las Naciones Unidas que sean aplicables a discreción del Director Ejecutivo del Programa de las Naciones Unidas para el Medio Ambiente, en consulta con el jefe de la Secretaría. Si no llegasen a un acuerdo, el Director Ejecutivo decidirá lo que haya de hacerse. Los ingresos resultantes se acreditarán al fondo fiduciario del Convenio correspondiente.</w:t>
      </w:r>
    </w:p>
    <w:p w14:paraId="0C9E86D7" w14:textId="77777777" w:rsidR="00863EA4" w:rsidRPr="001932F8" w:rsidRDefault="00863EA4" w:rsidP="00863EA4">
      <w:pPr>
        <w:pStyle w:val="CH2"/>
        <w:tabs>
          <w:tab w:val="clear" w:pos="851"/>
          <w:tab w:val="clear" w:pos="1247"/>
          <w:tab w:val="clear" w:pos="1814"/>
          <w:tab w:val="clear" w:pos="2381"/>
          <w:tab w:val="clear" w:pos="2948"/>
          <w:tab w:val="clear" w:pos="3515"/>
          <w:tab w:val="clear" w:pos="4082"/>
        </w:tabs>
        <w:ind w:right="0"/>
        <w:rPr>
          <w:lang w:val="es-ES"/>
        </w:rPr>
      </w:pPr>
      <w:r w:rsidRPr="001932F8">
        <w:rPr>
          <w:lang w:val="es-ES"/>
        </w:rPr>
        <w:tab/>
      </w:r>
      <w:r w:rsidRPr="001932F8">
        <w:rPr>
          <w:lang w:val="es-ES"/>
        </w:rPr>
        <w:tab/>
        <w:t>Contabilidad y auditoría</w:t>
      </w:r>
    </w:p>
    <w:p w14:paraId="38A7A4BF" w14:textId="77777777" w:rsidR="00863EA4" w:rsidRPr="001932F8" w:rsidRDefault="00863EA4" w:rsidP="00863EA4">
      <w:pPr>
        <w:pStyle w:val="CH3"/>
        <w:tabs>
          <w:tab w:val="clear" w:pos="851"/>
          <w:tab w:val="clear" w:pos="1247"/>
          <w:tab w:val="clear" w:pos="1814"/>
          <w:tab w:val="clear" w:pos="2381"/>
          <w:tab w:val="clear" w:pos="2948"/>
          <w:tab w:val="clear" w:pos="3515"/>
          <w:tab w:val="clear" w:pos="4082"/>
        </w:tabs>
        <w:rPr>
          <w:lang w:val="es-ES"/>
        </w:rPr>
      </w:pPr>
      <w:r w:rsidRPr="001932F8">
        <w:rPr>
          <w:lang w:val="es-ES"/>
        </w:rPr>
        <w:tab/>
      </w:r>
      <w:r w:rsidRPr="001932F8">
        <w:rPr>
          <w:lang w:val="es-ES"/>
        </w:rPr>
        <w:tab/>
        <w:t>Artículo 6</w:t>
      </w:r>
    </w:p>
    <w:p w14:paraId="12680789"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1.</w:t>
      </w:r>
      <w:r w:rsidRPr="001932F8">
        <w:rPr>
          <w:lang w:val="es-ES"/>
        </w:rPr>
        <w:tab/>
        <w:t>La contabilidad y la gestión financiera de todos los fondos regidos por el presente reglamento estarán sujetas a los procesos de auditoría interna y externa de las Naciones Unidas.</w:t>
      </w:r>
    </w:p>
    <w:p w14:paraId="3BF5C592"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2.</w:t>
      </w:r>
      <w:r w:rsidRPr="001932F8">
        <w:rPr>
          <w:lang w:val="es-ES"/>
        </w:rPr>
        <w:tab/>
        <w:t>Se presentará a la Conferencia de las Partes un estado de cuentas provisional y, tan pronto como sea posible una vez que se haya cerrado la contabilidad del ejercicio financiero, se presentará a la Conferencia de las Partes un estado de cuentas definitivo verificado correspondiente a la totalidad del ejercicio financiero.</w:t>
      </w:r>
    </w:p>
    <w:p w14:paraId="6993E87C" w14:textId="77777777" w:rsidR="0044359F" w:rsidRDefault="0044359F" w:rsidP="00863EA4">
      <w:pPr>
        <w:pStyle w:val="NormalNonumber"/>
        <w:tabs>
          <w:tab w:val="clear" w:pos="1247"/>
          <w:tab w:val="clear" w:pos="1814"/>
          <w:tab w:val="clear" w:pos="2381"/>
          <w:tab w:val="clear" w:pos="2948"/>
          <w:tab w:val="clear" w:pos="3515"/>
          <w:tab w:val="clear" w:pos="4082"/>
        </w:tabs>
        <w:rPr>
          <w:lang w:val="es-ES"/>
        </w:rPr>
        <w:sectPr w:rsidR="0044359F"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pPr>
    </w:p>
    <w:p w14:paraId="5EA951B9" w14:textId="577CCB66"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lastRenderedPageBreak/>
        <w:t>3.</w:t>
      </w:r>
      <w:r w:rsidRPr="001932F8">
        <w:rPr>
          <w:lang w:val="es-ES"/>
        </w:rPr>
        <w:tab/>
        <w:t>La Conferencia de las Partes recibirá información sobre toda observación pertinente que se haya hecho en los informes de la Junta de Auditores de las Naciones Unidas sobre el estado financiero del Programa de las Naciones Unidas para el Medio Ambienten y sobre las observaciones consignadas en las auditorías externas.</w:t>
      </w:r>
    </w:p>
    <w:p w14:paraId="20B0FE53" w14:textId="77777777" w:rsidR="00863EA4" w:rsidRPr="001932F8" w:rsidRDefault="00863EA4" w:rsidP="00863EA4">
      <w:pPr>
        <w:pStyle w:val="CH2"/>
        <w:tabs>
          <w:tab w:val="clear" w:pos="851"/>
          <w:tab w:val="clear" w:pos="1247"/>
          <w:tab w:val="clear" w:pos="1814"/>
          <w:tab w:val="clear" w:pos="2381"/>
          <w:tab w:val="clear" w:pos="2948"/>
          <w:tab w:val="clear" w:pos="3515"/>
          <w:tab w:val="clear" w:pos="4082"/>
        </w:tabs>
        <w:rPr>
          <w:lang w:val="es-ES"/>
        </w:rPr>
      </w:pPr>
      <w:r w:rsidRPr="001932F8">
        <w:rPr>
          <w:lang w:val="es-ES"/>
        </w:rPr>
        <w:tab/>
      </w:r>
      <w:r w:rsidRPr="001932F8">
        <w:rPr>
          <w:lang w:val="es-ES"/>
        </w:rPr>
        <w:tab/>
        <w:t>Gastos de apoyo administrativo</w:t>
      </w:r>
    </w:p>
    <w:p w14:paraId="41198102" w14:textId="77777777" w:rsidR="00863EA4" w:rsidRPr="001932F8" w:rsidRDefault="00863EA4" w:rsidP="00863EA4">
      <w:pPr>
        <w:pStyle w:val="CH3"/>
        <w:tabs>
          <w:tab w:val="clear" w:pos="851"/>
          <w:tab w:val="clear" w:pos="1247"/>
          <w:tab w:val="clear" w:pos="1814"/>
          <w:tab w:val="clear" w:pos="2381"/>
          <w:tab w:val="clear" w:pos="2948"/>
          <w:tab w:val="clear" w:pos="3515"/>
          <w:tab w:val="clear" w:pos="4082"/>
        </w:tabs>
        <w:rPr>
          <w:lang w:val="es-ES"/>
        </w:rPr>
      </w:pPr>
      <w:r w:rsidRPr="001932F8">
        <w:rPr>
          <w:lang w:val="es-ES"/>
        </w:rPr>
        <w:tab/>
      </w:r>
      <w:r w:rsidRPr="001932F8">
        <w:rPr>
          <w:lang w:val="es-ES"/>
        </w:rPr>
        <w:tab/>
        <w:t>Artículo 7</w:t>
      </w:r>
    </w:p>
    <w:p w14:paraId="0A76EED0" w14:textId="77777777" w:rsidR="00863EA4" w:rsidRPr="001932F8"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La Conferencia de las Partes reembolsará al Programa de las Naciones Unidas para el Medio Ambiente por los servicios prestados a la Conferencia de las Partes, sus órganos subsidiarios y la Secretaría del Convenio, con cargo a los fondos a que se hace referencia en los párrafos 1, 3 y 4 del artículo 4, en las condiciones que cada cierto tiempo acuerden entre sí la Conferencia de las Partes y el Programa de las Naciones Unidas para el Medio Ambiente, o en ausencia de dicho acuerdo, con arreglo a la política general de las Naciones Unidas.</w:t>
      </w:r>
    </w:p>
    <w:p w14:paraId="0FB4672D" w14:textId="77777777" w:rsidR="00863EA4" w:rsidRPr="001932F8" w:rsidRDefault="00863EA4" w:rsidP="00863EA4">
      <w:pPr>
        <w:pStyle w:val="CH2"/>
        <w:tabs>
          <w:tab w:val="clear" w:pos="851"/>
          <w:tab w:val="clear" w:pos="1247"/>
          <w:tab w:val="clear" w:pos="1814"/>
          <w:tab w:val="clear" w:pos="2381"/>
          <w:tab w:val="clear" w:pos="2948"/>
          <w:tab w:val="clear" w:pos="3515"/>
          <w:tab w:val="clear" w:pos="4082"/>
        </w:tabs>
        <w:rPr>
          <w:lang w:val="es-ES"/>
        </w:rPr>
      </w:pPr>
      <w:r w:rsidRPr="001932F8">
        <w:rPr>
          <w:lang w:val="es-ES"/>
        </w:rPr>
        <w:tab/>
      </w:r>
      <w:r w:rsidRPr="001932F8">
        <w:rPr>
          <w:lang w:val="es-ES"/>
        </w:rPr>
        <w:tab/>
        <w:t>Enmiendas</w:t>
      </w:r>
    </w:p>
    <w:p w14:paraId="16E6D303" w14:textId="77777777" w:rsidR="00863EA4" w:rsidRPr="001932F8" w:rsidRDefault="00863EA4" w:rsidP="00863EA4">
      <w:pPr>
        <w:pStyle w:val="CH3"/>
        <w:tabs>
          <w:tab w:val="clear" w:pos="851"/>
          <w:tab w:val="clear" w:pos="1247"/>
          <w:tab w:val="clear" w:pos="1814"/>
          <w:tab w:val="clear" w:pos="2381"/>
          <w:tab w:val="clear" w:pos="2948"/>
          <w:tab w:val="clear" w:pos="3515"/>
          <w:tab w:val="clear" w:pos="4082"/>
        </w:tabs>
        <w:rPr>
          <w:lang w:val="es-ES"/>
        </w:rPr>
      </w:pPr>
      <w:r w:rsidRPr="001932F8">
        <w:rPr>
          <w:lang w:val="es-ES"/>
        </w:rPr>
        <w:tab/>
      </w:r>
      <w:r w:rsidRPr="001932F8">
        <w:rPr>
          <w:lang w:val="es-ES"/>
        </w:rPr>
        <w:tab/>
        <w:t>Artículo 8</w:t>
      </w:r>
    </w:p>
    <w:p w14:paraId="0011BC16" w14:textId="518201BF" w:rsidR="00863EA4" w:rsidRDefault="00863EA4" w:rsidP="00863EA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Toda enmienda al presente reglamento deberá ser aprobada por consenso por la Conferencia de las Partes.</w:t>
      </w:r>
    </w:p>
    <w:p w14:paraId="0389D28F" w14:textId="77777777" w:rsidR="00984A4E" w:rsidRPr="00863EA4" w:rsidRDefault="00984A4E" w:rsidP="00863EA4">
      <w:pPr>
        <w:pStyle w:val="NormalNonumber"/>
        <w:tabs>
          <w:tab w:val="clear" w:pos="1247"/>
          <w:tab w:val="clear" w:pos="1814"/>
          <w:tab w:val="clear" w:pos="2381"/>
          <w:tab w:val="clear" w:pos="2948"/>
          <w:tab w:val="clear" w:pos="3515"/>
          <w:tab w:val="clear" w:pos="4082"/>
        </w:tabs>
        <w:ind w:firstLine="624"/>
        <w:rPr>
          <w:lang w:val="es-ES"/>
        </w:rPr>
      </w:pPr>
    </w:p>
    <w:p w14:paraId="5B105928"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rStyle w:val="Inget"/>
          <w:b/>
          <w:bCs/>
          <w:sz w:val="24"/>
          <w:szCs w:val="24"/>
          <w:lang w:val="es-ES"/>
        </w:rPr>
      </w:pPr>
      <w:r w:rsidRPr="001932F8">
        <w:rPr>
          <w:b/>
          <w:sz w:val="24"/>
          <w:szCs w:val="24"/>
          <w:lang w:val="es-ES"/>
        </w:rPr>
        <w:t>Anexo del reglamento financiero</w:t>
      </w:r>
    </w:p>
    <w:p w14:paraId="1D3946A0" w14:textId="77777777" w:rsidR="00863EA4" w:rsidRPr="001932F8" w:rsidRDefault="00863EA4" w:rsidP="00863EA4">
      <w:pPr>
        <w:pStyle w:val="CH2"/>
        <w:keepNext w:val="0"/>
        <w:keepLines w:val="0"/>
        <w:tabs>
          <w:tab w:val="clear" w:pos="851"/>
          <w:tab w:val="clear" w:pos="1247"/>
          <w:tab w:val="clear" w:pos="1814"/>
          <w:tab w:val="clear" w:pos="2381"/>
          <w:tab w:val="clear" w:pos="2948"/>
          <w:tab w:val="clear" w:pos="3515"/>
          <w:tab w:val="clear" w:pos="4082"/>
        </w:tabs>
        <w:ind w:right="0"/>
        <w:rPr>
          <w:lang w:val="es-ES"/>
        </w:rPr>
      </w:pPr>
      <w:r w:rsidRPr="001932F8">
        <w:rPr>
          <w:lang w:val="es-ES"/>
        </w:rPr>
        <w:tab/>
      </w:r>
      <w:r w:rsidRPr="001932F8">
        <w:rPr>
          <w:lang w:val="es-ES"/>
        </w:rPr>
        <w:tab/>
        <w:t xml:space="preserve">Procedimiento para la asignación de fondos con cargo al Fondo Fiduciario Especial para facilitar la participación de Partes en las reuniones de la Conferencia de las Partes </w:t>
      </w:r>
    </w:p>
    <w:p w14:paraId="39571B9A"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1.</w:t>
      </w:r>
      <w:r w:rsidRPr="001932F8">
        <w:rPr>
          <w:lang w:val="es-ES"/>
        </w:rPr>
        <w:tab/>
        <w:t>La finalidad del procedimiento que aquí se describe para la participación de los representantes que reúnan los requisitos en las reuniones que se celebren en el marco del Convenio deberá ser la participación plena y activa de las Partes que son países en desarrollo, en particular los países menos adelantados y los pequeños Estados insulares en desarrollo, así como Partes que sean países con economías en transición, en las actividades del Convenio para ampliar el acervo de experiencia e información a disposición de las Partes en el Convenio y alentar la aplicación del Convenio en los planos local, nacional, regional e internacional.</w:t>
      </w:r>
    </w:p>
    <w:p w14:paraId="5DCAB49E"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2.</w:t>
      </w:r>
      <w:r w:rsidRPr="001932F8">
        <w:rPr>
          <w:lang w:val="es-ES"/>
        </w:rPr>
        <w:tab/>
        <w:t>[El procedimiento deberá atribuir [prioridad] [especial atención] a los países menos adelantados y a los pequeños Estados insulares en desarrollo y a partir de entonces procurar asegurar una representación adecuada de todas las Partes que reúnan los requisitos. El procedimiento deberá seguir rigiéndose por la práctica establecida en las Naciones Unidas.]</w:t>
      </w:r>
    </w:p>
    <w:p w14:paraId="447FEACA"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3.</w:t>
      </w:r>
      <w:r w:rsidRPr="001932F8">
        <w:rPr>
          <w:lang w:val="es-ES"/>
        </w:rPr>
        <w:tab/>
        <w:t>La Secretaría deberá notificar a las Partes, tan pronto sea posible y preferiblemente con seis meses de antelación, las fechas y el lugar de celebración de las reuniones de la Conferencia de las Partes.</w:t>
      </w:r>
    </w:p>
    <w:p w14:paraId="7A5F159B"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4.</w:t>
      </w:r>
      <w:r w:rsidRPr="001932F8">
        <w:rPr>
          <w:lang w:val="es-ES"/>
        </w:rPr>
        <w:tab/>
        <w:t>Tras el envío de esa notificación, se invitará a las Partes que reúnan los requisitos establecidos a que, por medio de los canales oficiales de comunicación, informen a la Secretaría cuanto antes y a más tardar con tres meses de antelación a la reunión, si solicitan o no financiación para participar en esta.</w:t>
      </w:r>
    </w:p>
    <w:p w14:paraId="2CCCCD6D"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5.</w:t>
      </w:r>
      <w:r w:rsidRPr="001932F8">
        <w:rPr>
          <w:lang w:val="es-ES"/>
        </w:rPr>
        <w:tab/>
        <w:t>Con sujeción a la disponibilidad de recursos financieros y según el número de solicitudes recibidas, el jefe de la Secretaría preparará una lista de representantes que recibirán subvención. La lista se preparará de conformidad con los párrafos 1 y 2 anteriores con el objeto de velar por la debida representación geográfica de las regiones que reúnan los requisitos [y se atribuirá [prioridad] [especial atención] a los países menos adelantados y a los pequeños Estados insulares en desarrollo].</w:t>
      </w:r>
    </w:p>
    <w:p w14:paraId="47F19AA6" w14:textId="77777777" w:rsidR="00863EA4" w:rsidRPr="001932F8" w:rsidRDefault="00863EA4" w:rsidP="00863EA4">
      <w:pPr>
        <w:pStyle w:val="NormalNonumber"/>
        <w:tabs>
          <w:tab w:val="clear" w:pos="1247"/>
          <w:tab w:val="clear" w:pos="1814"/>
          <w:tab w:val="clear" w:pos="2381"/>
          <w:tab w:val="clear" w:pos="2948"/>
          <w:tab w:val="clear" w:pos="3515"/>
          <w:tab w:val="clear" w:pos="4082"/>
        </w:tabs>
        <w:rPr>
          <w:lang w:val="es-ES"/>
        </w:rPr>
      </w:pPr>
      <w:r w:rsidRPr="001932F8">
        <w:rPr>
          <w:lang w:val="es-ES"/>
        </w:rPr>
        <w:t>6.</w:t>
      </w:r>
      <w:r w:rsidRPr="001932F8">
        <w:rPr>
          <w:lang w:val="es-ES"/>
        </w:rPr>
        <w:tab/>
        <w:t>Con cuatro semanas de antelación, la Secretaría enviará a los países que reúnan los requisitos pero que no vayan a recibir la subvención, una comunicación al respecto y los invitará a que traten de procurarse otras fuentes de financiación alternativas.</w:t>
      </w:r>
    </w:p>
    <w:p w14:paraId="43D9FF6C" w14:textId="595F6714" w:rsidR="007B03D1" w:rsidRPr="007B6B36" w:rsidRDefault="00863EA4" w:rsidP="00984A4E">
      <w:pPr>
        <w:pStyle w:val="NormalNonumber"/>
        <w:tabs>
          <w:tab w:val="clear" w:pos="1247"/>
          <w:tab w:val="clear" w:pos="1814"/>
          <w:tab w:val="clear" w:pos="2381"/>
          <w:tab w:val="clear" w:pos="2948"/>
          <w:tab w:val="clear" w:pos="3515"/>
          <w:tab w:val="clear" w:pos="4082"/>
        </w:tabs>
        <w:rPr>
          <w:lang w:val="es-ES"/>
        </w:rPr>
      </w:pPr>
      <w:r w:rsidRPr="001932F8">
        <w:rPr>
          <w:lang w:val="es-ES"/>
        </w:rPr>
        <w:tab/>
        <w:t>7.</w:t>
      </w:r>
      <w:r w:rsidRPr="001932F8">
        <w:rPr>
          <w:lang w:val="es-ES"/>
        </w:rPr>
        <w:tab/>
        <w:t>Se invita al jefe de la Secretaría a que mantenga contactos con el Director Ejecutivo del Programa de las Naciones Unidas para el Medio Ambiente con miras a conseguir una derogación del cargo en concepto de gastos de apoyo a los programas con respecto a las contribuciones al Fondo Fiduciario Especial para la participación de representantes de países en desarrollo y países con economías en transición, en el entendimiento de que las sumas así economizadas se utilizarán para potenciar la representación de las Partes elegibles.</w:t>
      </w:r>
      <w:bookmarkStart w:id="2" w:name="_GoBack"/>
      <w:bookmarkEnd w:id="2"/>
    </w:p>
    <w:p w14:paraId="533807B3" w14:textId="38845819" w:rsidR="009E64B0" w:rsidRPr="007B6B36" w:rsidRDefault="009E64B0" w:rsidP="007B6B36">
      <w:pPr>
        <w:pStyle w:val="Normalnumber"/>
        <w:tabs>
          <w:tab w:val="clear" w:pos="624"/>
        </w:tabs>
        <w:rPr>
          <w:lang w:val="es-ES"/>
        </w:rPr>
      </w:pPr>
    </w:p>
    <w:sectPr w:rsidR="009E64B0" w:rsidRPr="007B6B36" w:rsidSect="0044359F">
      <w:footnotePr>
        <w:numRestart w:val="eachSect"/>
      </w:footnotePr>
      <w:pgSz w:w="11900" w:h="16840" w:code="9"/>
      <w:pgMar w:top="907" w:right="992" w:bottom="284"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E05F0" w14:textId="77777777" w:rsidR="0080365A" w:rsidRDefault="0080365A">
      <w:r>
        <w:separator/>
      </w:r>
    </w:p>
  </w:endnote>
  <w:endnote w:type="continuationSeparator" w:id="0">
    <w:p w14:paraId="37953AFD" w14:textId="77777777" w:rsidR="0080365A" w:rsidRDefault="0080365A">
      <w:r>
        <w:continuationSeparator/>
      </w:r>
    </w:p>
  </w:endnote>
  <w:endnote w:type="continuationNotice" w:id="1">
    <w:p w14:paraId="1CFEA79D" w14:textId="77777777" w:rsidR="0080365A" w:rsidRDefault="00803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72E2" w14:textId="77777777" w:rsidR="0080365A" w:rsidRPr="008D1ED6" w:rsidRDefault="0080365A"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3C679737" w14:textId="77777777" w:rsidR="0080365A" w:rsidRDefault="0080365A">
      <w:r>
        <w:continuationSeparator/>
      </w:r>
    </w:p>
  </w:footnote>
  <w:footnote w:type="continuationNotice" w:id="1">
    <w:p w14:paraId="24BF8C13" w14:textId="77777777" w:rsidR="0080365A" w:rsidRDefault="0080365A"/>
  </w:footnote>
  <w:footnote w:id="2">
    <w:p w14:paraId="54E060EE" w14:textId="77777777" w:rsidR="00863EA4" w:rsidRPr="00114C9F" w:rsidRDefault="00863EA4" w:rsidP="00863EA4">
      <w:pPr>
        <w:pStyle w:val="FootnoteText"/>
        <w:rPr>
          <w:lang w:val="es-ES"/>
        </w:rPr>
      </w:pPr>
      <w:r w:rsidRPr="00114C9F">
        <w:rPr>
          <w:rStyle w:val="FootnoteReference"/>
          <w:lang w:val="es-ES"/>
        </w:rPr>
        <w:footnoteRef/>
      </w:r>
      <w:r w:rsidRPr="00114C9F">
        <w:rPr>
          <w:lang w:val="es-ES"/>
        </w:rPr>
        <w:t xml:space="preserve"> Depende de la decisión sobre los arreglos de acogida para la Secretaría.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1EF8ED82" w:rsidR="00454804" w:rsidRPr="00417FE2" w:rsidRDefault="00454804">
    <w:pPr>
      <w:pStyle w:val="Header"/>
      <w:rPr>
        <w:szCs w:val="18"/>
      </w:rPr>
    </w:pPr>
    <w:r w:rsidRPr="009C52E8">
      <w:rPr>
        <w:bCs/>
        <w:szCs w:val="18"/>
      </w:rPr>
      <w:t>UNEP</w:t>
    </w:r>
    <w:r w:rsidRPr="009C52E8">
      <w:rPr>
        <w:szCs w:val="18"/>
      </w:rPr>
      <w:t>/MC/COP.</w:t>
    </w:r>
    <w:r w:rsidR="00DE34BD">
      <w:rPr>
        <w:szCs w:val="18"/>
      </w:rPr>
      <w:t>1</w:t>
    </w:r>
    <w:r w:rsidRPr="009C52E8">
      <w:rPr>
        <w:szCs w:val="18"/>
      </w:rPr>
      <w:t>/</w:t>
    </w:r>
    <w:r w:rsidR="00367391">
      <w:rPr>
        <w:szCs w:val="18"/>
      </w:rPr>
      <w:t>Dec.</w:t>
    </w:r>
    <w:r w:rsidR="00863EA4">
      <w:rPr>
        <w:szCs w:val="18"/>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4511A221" w:rsidR="00454804" w:rsidRPr="00417FE2" w:rsidRDefault="00454804" w:rsidP="00417FE2">
    <w:pPr>
      <w:pStyle w:val="Header"/>
      <w:jc w:val="right"/>
      <w:rPr>
        <w:szCs w:val="18"/>
      </w:rPr>
    </w:pPr>
    <w:r w:rsidRPr="009C52E8">
      <w:rPr>
        <w:bCs/>
        <w:szCs w:val="18"/>
      </w:rPr>
      <w:t>UNEP</w:t>
    </w:r>
    <w:r w:rsidRPr="009C52E8">
      <w:rPr>
        <w:szCs w:val="18"/>
      </w:rPr>
      <w:t>/MC/COP.</w:t>
    </w:r>
    <w:r w:rsidR="00A03799">
      <w:rPr>
        <w:szCs w:val="18"/>
      </w:rPr>
      <w:t>1</w:t>
    </w:r>
    <w:r w:rsidRPr="009C52E8">
      <w:rPr>
        <w:szCs w:val="18"/>
      </w:rPr>
      <w:t>/</w:t>
    </w:r>
    <w:r w:rsidR="00367391">
      <w:rPr>
        <w:szCs w:val="18"/>
      </w:rPr>
      <w:t>Dec.</w:t>
    </w:r>
    <w:r w:rsidR="00863EA4">
      <w:rPr>
        <w:szCs w:val="18"/>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99B404A"/>
    <w:multiLevelType w:val="hybridMultilevel"/>
    <w:tmpl w:val="7E422F62"/>
    <w:lvl w:ilvl="0" w:tplc="04090017">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0"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17F6FA5"/>
    <w:multiLevelType w:val="hybridMultilevel"/>
    <w:tmpl w:val="0A1AE0A8"/>
    <w:lvl w:ilvl="0" w:tplc="EE84FE30">
      <w:start w:val="2"/>
      <w:numFmt w:val="decimal"/>
      <w:lvlText w:val="%1."/>
      <w:lvlJc w:val="left"/>
      <w:pPr>
        <w:ind w:left="1967" w:hanging="360"/>
      </w:pPr>
      <w:rPr>
        <w:rFonts w:hint="default"/>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FE34526"/>
    <w:multiLevelType w:val="hybridMultilevel"/>
    <w:tmpl w:val="D07A6E4C"/>
    <w:lvl w:ilvl="0" w:tplc="F40AD4B2">
      <w:numFmt w:val="decimal"/>
      <w:lvlText w:val=""/>
      <w:lvlJc w:val="left"/>
    </w:lvl>
    <w:lvl w:ilvl="1" w:tplc="3BF0B99A">
      <w:numFmt w:val="decimal"/>
      <w:lvlText w:val=""/>
      <w:lvlJc w:val="left"/>
    </w:lvl>
    <w:lvl w:ilvl="2" w:tplc="D7741818">
      <w:numFmt w:val="decimal"/>
      <w:lvlText w:val=""/>
      <w:lvlJc w:val="left"/>
    </w:lvl>
    <w:lvl w:ilvl="3" w:tplc="BEE841CA">
      <w:numFmt w:val="decimal"/>
      <w:lvlText w:val=""/>
      <w:lvlJc w:val="left"/>
    </w:lvl>
    <w:lvl w:ilvl="4" w:tplc="4FCEEB44">
      <w:numFmt w:val="decimal"/>
      <w:lvlText w:val=""/>
      <w:lvlJc w:val="left"/>
    </w:lvl>
    <w:lvl w:ilvl="5" w:tplc="292CCA3A">
      <w:numFmt w:val="decimal"/>
      <w:lvlText w:val=""/>
      <w:lvlJc w:val="left"/>
    </w:lvl>
    <w:lvl w:ilvl="6" w:tplc="A204E07C">
      <w:numFmt w:val="decimal"/>
      <w:lvlText w:val=""/>
      <w:lvlJc w:val="left"/>
    </w:lvl>
    <w:lvl w:ilvl="7" w:tplc="9CF265AC">
      <w:numFmt w:val="decimal"/>
      <w:lvlText w:val=""/>
      <w:lvlJc w:val="left"/>
    </w:lvl>
    <w:lvl w:ilvl="8" w:tplc="0A4411DE">
      <w:numFmt w:val="decimal"/>
      <w:lvlText w:val=""/>
      <w:lvlJc w:val="left"/>
    </w:lvl>
  </w:abstractNum>
  <w:abstractNum w:abstractNumId="17" w15:restartNumberingAfterBreak="0">
    <w:nsid w:val="72D51C17"/>
    <w:multiLevelType w:val="multilevel"/>
    <w:tmpl w:val="C164C41E"/>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num w:numId="1">
    <w:abstractNumId w:val="15"/>
  </w:num>
  <w:num w:numId="2">
    <w:abstractNumId w:val="4"/>
  </w:num>
  <w:num w:numId="3">
    <w:abstractNumId w:val="11"/>
  </w:num>
  <w:num w:numId="4">
    <w:abstractNumId w:val="9"/>
  </w:num>
  <w:num w:numId="5">
    <w:abstractNumId w:val="0"/>
  </w:num>
  <w:num w:numId="6">
    <w:abstractNumId w:val="7"/>
  </w:num>
  <w:num w:numId="7">
    <w:abstractNumId w:val="12"/>
  </w:num>
  <w:num w:numId="8">
    <w:abstractNumId w:val="5"/>
  </w:num>
  <w:num w:numId="9">
    <w:abstractNumId w:val="14"/>
  </w:num>
  <w:num w:numId="10">
    <w:abstractNumId w:val="1"/>
  </w:num>
  <w:num w:numId="11">
    <w:abstractNumId w:val="6"/>
    <w:lvlOverride w:ilvl="0">
      <w:lvl w:ilvl="0" w:tplc="3C785296">
        <w:start w:val="1"/>
        <w:numFmt w:val="decimal"/>
        <w:pStyle w:val="Style1"/>
        <w:lvlText w:val="%1."/>
        <w:lvlJc w:val="left"/>
        <w:pPr>
          <w:ind w:left="720" w:hanging="360"/>
        </w:pPr>
      </w:lvl>
    </w:lvlOverride>
  </w:num>
  <w:num w:numId="12">
    <w:abstractNumId w:val="16"/>
    <w:lvlOverride w:ilvl="0">
      <w:lvl w:ilvl="0" w:tplc="F40AD4B2">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3BF0B99A">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7741818">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EE841CA">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4FCEEB44">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292CCA3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A204E07C">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9CF265AC">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0A4411DE">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3">
    <w:abstractNumId w:val="8"/>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13"/>
  </w:num>
  <w:num w:numId="15">
    <w:abstractNumId w:val="10"/>
    <w:lvlOverride w:ilvl="0">
      <w:lvl w:ilvl="0" w:tplc="9BEADC66">
        <w:start w:val="1"/>
        <w:numFmt w:val="decimal"/>
        <w:lvlText w:val="%1."/>
        <w:lvlJc w:val="left"/>
        <w:pPr>
          <w:ind w:left="720" w:hanging="360"/>
        </w:pPr>
        <w:rPr>
          <w:b w:val="0"/>
          <w:bCs/>
        </w:rPr>
      </w:lvl>
    </w:lvlOverride>
  </w:num>
  <w:num w:numId="16">
    <w:abstractNumId w:val="17"/>
    <w:lvlOverride w:ilvl="0">
      <w:lvl w:ilvl="0">
        <w:start w:val="1"/>
        <w:numFmt w:val="lowerLetter"/>
        <w:lvlText w:val="%1."/>
        <w:lvlJc w:val="left"/>
        <w:pPr>
          <w:ind w:left="3510" w:hanging="360"/>
        </w:pPr>
      </w:lvl>
    </w:lvlOverride>
    <w:lvlOverride w:ilvl="1">
      <w:lvl w:ilvl="1" w:tentative="1">
        <w:start w:val="1"/>
        <w:numFmt w:val="lowerLetter"/>
        <w:lvlText w:val="%2."/>
        <w:lvlJc w:val="left"/>
        <w:pPr>
          <w:ind w:left="2328" w:hanging="360"/>
        </w:pPr>
      </w:lvl>
    </w:lvlOverride>
    <w:lvlOverride w:ilvl="2">
      <w:lvl w:ilvl="2" w:tentative="1">
        <w:start w:val="1"/>
        <w:numFmt w:val="lowerRoman"/>
        <w:lvlText w:val="%3."/>
        <w:lvlJc w:val="right"/>
        <w:pPr>
          <w:ind w:left="3048" w:hanging="180"/>
        </w:pPr>
      </w:lvl>
    </w:lvlOverride>
    <w:lvlOverride w:ilvl="3">
      <w:lvl w:ilvl="3" w:tentative="1">
        <w:start w:val="1"/>
        <w:numFmt w:val="decimal"/>
        <w:lvlText w:val="%4."/>
        <w:lvlJc w:val="left"/>
        <w:pPr>
          <w:ind w:left="3768" w:hanging="360"/>
        </w:pPr>
      </w:lvl>
    </w:lvlOverride>
    <w:lvlOverride w:ilvl="4">
      <w:lvl w:ilvl="4" w:tentative="1">
        <w:start w:val="1"/>
        <w:numFmt w:val="lowerLetter"/>
        <w:lvlText w:val="%5."/>
        <w:lvlJc w:val="left"/>
        <w:pPr>
          <w:ind w:left="4488" w:hanging="360"/>
        </w:pPr>
      </w:lvl>
    </w:lvlOverride>
    <w:lvlOverride w:ilvl="5">
      <w:lvl w:ilvl="5" w:tentative="1">
        <w:start w:val="1"/>
        <w:numFmt w:val="lowerRoman"/>
        <w:lvlText w:val="%6."/>
        <w:lvlJc w:val="right"/>
        <w:pPr>
          <w:ind w:left="5208" w:hanging="180"/>
        </w:pPr>
      </w:lvl>
    </w:lvlOverride>
    <w:lvlOverride w:ilvl="6">
      <w:lvl w:ilvl="6" w:tentative="1">
        <w:start w:val="1"/>
        <w:numFmt w:val="decimal"/>
        <w:lvlText w:val="%7."/>
        <w:lvlJc w:val="left"/>
        <w:pPr>
          <w:ind w:left="5928" w:hanging="360"/>
        </w:pPr>
      </w:lvl>
    </w:lvlOverride>
    <w:lvlOverride w:ilvl="7">
      <w:lvl w:ilvl="7" w:tentative="1">
        <w:start w:val="1"/>
        <w:numFmt w:val="lowerLetter"/>
        <w:lvlText w:val="%8."/>
        <w:lvlJc w:val="left"/>
        <w:pPr>
          <w:ind w:left="6648" w:hanging="360"/>
        </w:pPr>
      </w:lvl>
    </w:lvlOverride>
    <w:lvlOverride w:ilvl="8">
      <w:lvl w:ilvl="8" w:tentative="1">
        <w:start w:val="1"/>
        <w:numFmt w:val="lowerRoman"/>
        <w:lvlText w:val="%9."/>
        <w:lvlJc w:val="right"/>
        <w:pPr>
          <w:ind w:left="7368" w:hanging="180"/>
        </w:pPr>
      </w:lvl>
    </w:lvlOverride>
  </w:num>
  <w:num w:numId="17">
    <w:abstractNumId w:val="2"/>
    <w:lvlOverride w:ilvl="0">
      <w:lvl w:ilvl="0">
        <w:start w:val="1"/>
        <w:numFmt w:val="lowerLetter"/>
        <w:lvlText w:val="%1)"/>
        <w:lvlJc w:val="left"/>
        <w:pPr>
          <w:tabs>
            <w:tab w:val="num" w:pos="568"/>
          </w:tabs>
          <w:ind w:left="1248" w:firstLine="0"/>
        </w:pPr>
        <w:rPr>
          <w:rFonts w:hint="default"/>
        </w:rPr>
      </w:lvl>
    </w:lvlOverride>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D7A17"/>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5952"/>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49DD"/>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65AD"/>
    <w:rsid w:val="003371D9"/>
    <w:rsid w:val="00337AFC"/>
    <w:rsid w:val="0034200A"/>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359F"/>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1BE"/>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24E5"/>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2913"/>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65DC9"/>
    <w:rsid w:val="00670C29"/>
    <w:rsid w:val="00670FAE"/>
    <w:rsid w:val="00672F57"/>
    <w:rsid w:val="00676D2F"/>
    <w:rsid w:val="00676F01"/>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4221"/>
    <w:rsid w:val="00795468"/>
    <w:rsid w:val="007968AD"/>
    <w:rsid w:val="00796D3F"/>
    <w:rsid w:val="007A131C"/>
    <w:rsid w:val="007A1683"/>
    <w:rsid w:val="007A21BE"/>
    <w:rsid w:val="007A3B6F"/>
    <w:rsid w:val="007A5C12"/>
    <w:rsid w:val="007A7CB0"/>
    <w:rsid w:val="007B03D1"/>
    <w:rsid w:val="007B1846"/>
    <w:rsid w:val="007B1A70"/>
    <w:rsid w:val="007B1C2F"/>
    <w:rsid w:val="007B31FB"/>
    <w:rsid w:val="007B5A1D"/>
    <w:rsid w:val="007B68A3"/>
    <w:rsid w:val="007B6B36"/>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7F70FD"/>
    <w:rsid w:val="00801181"/>
    <w:rsid w:val="00802517"/>
    <w:rsid w:val="00803212"/>
    <w:rsid w:val="0080365A"/>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3EA4"/>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BF9"/>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4A4E"/>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954"/>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3799"/>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9705C"/>
    <w:rsid w:val="00BA006B"/>
    <w:rsid w:val="00BA0090"/>
    <w:rsid w:val="00BA0978"/>
    <w:rsid w:val="00BA133D"/>
    <w:rsid w:val="00BA1A67"/>
    <w:rsid w:val="00BA4A0A"/>
    <w:rsid w:val="00BA6A80"/>
    <w:rsid w:val="00BA6CFA"/>
    <w:rsid w:val="00BA7782"/>
    <w:rsid w:val="00BB1BB5"/>
    <w:rsid w:val="00BB409D"/>
    <w:rsid w:val="00BB4ABB"/>
    <w:rsid w:val="00BB6A2D"/>
    <w:rsid w:val="00BC0F67"/>
    <w:rsid w:val="00BC254A"/>
    <w:rsid w:val="00BC3581"/>
    <w:rsid w:val="00BC3D0E"/>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3C0"/>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B693B"/>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34B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6AB4"/>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10A"/>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uiPriority w:val="99"/>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uiPriority w:val="99"/>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Inget">
    <w:name w:val="Inget"/>
    <w:rsid w:val="007B6B36"/>
  </w:style>
  <w:style w:type="paragraph" w:customStyle="1" w:styleId="Brdtext">
    <w:name w:val="Brödtext"/>
    <w:rsid w:val="007B6B3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uiPriority w:val="99"/>
    <w:rsid w:val="007B03D1"/>
    <w:rPr>
      <w:rFonts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3.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CA501-4C75-4D7A-B786-1FE38B76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2805</Words>
  <Characters>15990</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5</cp:revision>
  <cp:lastPrinted>2020-03-02T13:04:00Z</cp:lastPrinted>
  <dcterms:created xsi:type="dcterms:W3CDTF">2021-01-14T15:53:00Z</dcterms:created>
  <dcterms:modified xsi:type="dcterms:W3CDTF">2021-01-14T15:58:00Z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