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9640" w:type="dxa"/>
        <w:tblInd w:w="-34" w:type="dxa"/>
        <w:tblBorders>
          <w:bottom w:val="single" w:color="auto" w:sz="24" w:space="0"/>
          <w:insideH w:val="single" w:color="auto" w:sz="8" w:space="0"/>
        </w:tblBorders>
        <w:tblLayout w:type="fixed"/>
        <w:tblLook w:val="0000" w:firstRow="0" w:lastRow="0" w:firstColumn="0" w:lastColumn="0" w:noHBand="0" w:noVBand="0"/>
      </w:tblPr>
      <w:tblGrid>
        <w:gridCol w:w="3403"/>
        <w:gridCol w:w="4536"/>
        <w:gridCol w:w="1701"/>
      </w:tblGrid>
      <w:tr w:rsidR="00DE796A" w:rsidTr="3F9379D6" w14:paraId="57B14945" w14:textId="77777777">
        <w:trPr>
          <w:cantSplit/>
          <w:trHeight w:val="624"/>
        </w:trPr>
        <w:tc>
          <w:tcPr>
            <w:tcW w:w="3403" w:type="dxa"/>
            <w:tcBorders>
              <w:bottom w:val="nil"/>
            </w:tcBorders>
            <w:tcMar/>
          </w:tcPr>
          <w:p w:rsidRPr="00934FB6" w:rsidR="00DE796A" w:rsidP="000B1AA7" w:rsidRDefault="00934FB6" w14:paraId="0D7BDFB7" w14:textId="7777777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Mar/>
          </w:tcPr>
          <w:p w:rsidRPr="000844F9" w:rsidR="00DE796A" w:rsidP="00614BE8" w:rsidRDefault="00DE796A" w14:paraId="64421F22" w14:textId="77777777">
            <w:pPr>
              <w:bidi/>
              <w:spacing w:line="640" w:lineRule="exact"/>
              <w:jc w:val="both"/>
              <w:rPr>
                <w:b/>
                <w:bCs/>
                <w:sz w:val="44"/>
                <w:szCs w:val="44"/>
                <w:rtl/>
              </w:rPr>
            </w:pPr>
            <w:r w:rsidRPr="000844F9">
              <w:rPr>
                <w:rFonts w:hint="cs"/>
                <w:b/>
                <w:bCs/>
                <w:sz w:val="44"/>
                <w:szCs w:val="44"/>
                <w:rtl/>
              </w:rPr>
              <w:t>الأمم المتحدة</w:t>
            </w:r>
          </w:p>
        </w:tc>
      </w:tr>
      <w:tr w:rsidR="004B0A17" w:rsidTr="3F9379D6" w14:paraId="157883E7" w14:textId="77777777">
        <w:trPr>
          <w:cantSplit/>
          <w:trHeight w:val="254"/>
        </w:trPr>
        <w:tc>
          <w:tcPr>
            <w:tcW w:w="3403" w:type="dxa"/>
            <w:tcBorders>
              <w:top w:val="nil"/>
              <w:bottom w:val="single" w:color="auto" w:sz="4" w:space="0"/>
            </w:tcBorders>
            <w:tcMar/>
          </w:tcPr>
          <w:p w:rsidRPr="004B0A17" w:rsidR="004B0A17" w:rsidP="006D0402" w:rsidRDefault="00115715" w14:paraId="4754C7D0" w14:textId="1DA4C02D">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w:t>
            </w:r>
            <w:r w:rsidR="00CD0AA9">
              <w:rPr>
                <w:rFonts w:cs="Times New Roman"/>
                <w:szCs w:val="20"/>
              </w:rPr>
              <w:t>10</w:t>
            </w:r>
          </w:p>
        </w:tc>
        <w:tc>
          <w:tcPr>
            <w:tcW w:w="6237" w:type="dxa"/>
            <w:gridSpan w:val="2"/>
            <w:tcBorders>
              <w:top w:val="nil"/>
              <w:bottom w:val="single" w:color="auto" w:sz="4" w:space="0"/>
            </w:tcBorders>
            <w:tcMar/>
          </w:tcPr>
          <w:p w:rsidRPr="004B0A17" w:rsidR="004B0A17" w:rsidP="004B0A17" w:rsidRDefault="004B0A17" w14:paraId="1A82580C" w14:textId="77777777">
            <w:pPr>
              <w:jc w:val="both"/>
              <w:rPr>
                <w:rFonts w:cs="Times New Roman"/>
                <w:b/>
                <w:bCs/>
                <w:szCs w:val="20"/>
                <w:rtl/>
              </w:rPr>
            </w:pPr>
          </w:p>
        </w:tc>
      </w:tr>
      <w:tr w:rsidR="00DE796A" w:rsidTr="3F9379D6" w14:paraId="2FA8CC95" w14:textId="77777777">
        <w:trPr>
          <w:cantSplit/>
          <w:trHeight w:val="2288"/>
        </w:trPr>
        <w:tc>
          <w:tcPr>
            <w:tcW w:w="3403" w:type="dxa"/>
            <w:tcBorders>
              <w:top w:val="single" w:color="auto" w:sz="4" w:space="0"/>
            </w:tcBorders>
            <w:tcMar/>
          </w:tcPr>
          <w:p w:rsidRPr="00A969A0" w:rsidR="00934FB6" w:rsidP="00B42C89" w:rsidRDefault="00934FB6" w14:paraId="4B68E998" w14:textId="77777777">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Pr="00A969A0" w:rsidR="00934FB6" w:rsidP="00934FB6" w:rsidRDefault="0058742B" w14:paraId="12D63A4C" w14:textId="77777777">
            <w:pPr>
              <w:jc w:val="both"/>
              <w:rPr>
                <w:rFonts w:cs="Times New Roman"/>
                <w:szCs w:val="20"/>
              </w:rPr>
            </w:pPr>
            <w:r>
              <w:rPr>
                <w:rFonts w:cs="Times New Roman"/>
                <w:szCs w:val="20"/>
              </w:rPr>
              <w:t>22 November</w:t>
            </w:r>
            <w:r w:rsidRPr="00A969A0" w:rsidR="00934FB6">
              <w:rPr>
                <w:rFonts w:cs="Times New Roman"/>
                <w:szCs w:val="20"/>
              </w:rPr>
              <w:t xml:space="preserve"> 20</w:t>
            </w:r>
            <w:r w:rsidR="00934FB6">
              <w:rPr>
                <w:rFonts w:cs="Times New Roman"/>
                <w:szCs w:val="20"/>
              </w:rPr>
              <w:t>17</w:t>
            </w:r>
          </w:p>
          <w:p w:rsidRPr="00A969A0" w:rsidR="00934FB6" w:rsidP="00934FB6" w:rsidRDefault="00934FB6" w14:paraId="3F87336D" w14:textId="77777777">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P="00934FB6" w:rsidRDefault="00934FB6" w14:paraId="40CCB0D1" w14:textId="77777777">
            <w:pPr>
              <w:ind w:right="34"/>
              <w:jc w:val="both"/>
            </w:pPr>
            <w:r w:rsidRPr="00A969A0">
              <w:rPr>
                <w:rFonts w:cs="Times New Roman"/>
                <w:szCs w:val="20"/>
              </w:rPr>
              <w:t>Original: English</w:t>
            </w:r>
          </w:p>
        </w:tc>
        <w:tc>
          <w:tcPr>
            <w:tcW w:w="4536" w:type="dxa"/>
            <w:tcBorders>
              <w:top w:val="single" w:color="auto" w:sz="4" w:space="0"/>
            </w:tcBorders>
            <w:tcMar/>
          </w:tcPr>
          <w:p w:rsidR="00DE796A" w:rsidP="006D0402" w:rsidRDefault="00DE796A" w14:paraId="07A82210" w14:textId="77777777">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color="auto" w:sz="4" w:space="0"/>
            </w:tcBorders>
            <w:tcMar/>
          </w:tcPr>
          <w:p w:rsidR="00DE796A" w:rsidP="007D019B" w:rsidRDefault="00933976" w14:paraId="582F7503" w14:textId="77777777">
            <w:pPr>
              <w:spacing w:line="20" w:lineRule="exact"/>
            </w:pPr>
            <w:r>
              <w:rPr>
                <w:noProof/>
              </w:rPr>
              <w:drawing>
                <wp:anchor distT="0" distB="0" distL="114300" distR="114300" simplePos="0" relativeHeight="251657216"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3F9379D6">
              <w:rPr/>
              <w:t/>
            </w:r>
          </w:p>
        </w:tc>
      </w:tr>
    </w:tbl>
    <w:tbl>
      <w:tblPr>
        <w:bidiVisual/>
        <w:tblW w:w="9640" w:type="dxa"/>
        <w:tblInd w:w="106" w:type="dxa"/>
        <w:tblBorders>
          <w:insideH w:val="single" w:color="auto" w:sz="4" w:space="0"/>
          <w:insideV w:val="single" w:color="auto" w:sz="4" w:space="0"/>
        </w:tblBorders>
        <w:tblLook w:val="0000" w:firstRow="0" w:lastRow="0" w:firstColumn="0" w:lastColumn="0" w:noHBand="0" w:noVBand="0"/>
      </w:tblPr>
      <w:tblGrid>
        <w:gridCol w:w="9640"/>
      </w:tblGrid>
      <w:tr w:rsidR="0090002B" w:rsidTr="00115715" w14:paraId="30B9F7CA" w14:textId="77777777">
        <w:tc>
          <w:tcPr>
            <w:tcW w:w="9640" w:type="dxa"/>
          </w:tcPr>
          <w:p w:rsidR="006E1D97" w:rsidP="006D0402" w:rsidRDefault="00934FB6" w14:paraId="79BD3775" w14:textId="77777777">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rsidR="00934FB6" w:rsidP="006D0402" w:rsidRDefault="00934FB6" w14:paraId="6B0580B5" w14:textId="77777777">
            <w:pPr>
              <w:bidi/>
              <w:spacing w:line="360" w:lineRule="exact"/>
              <w:ind w:left="34" w:right="2019"/>
              <w:jc w:val="both"/>
              <w:rPr>
                <w:b/>
                <w:bCs/>
                <w:sz w:val="30"/>
                <w:rtl/>
              </w:rPr>
            </w:pPr>
            <w:r>
              <w:rPr>
                <w:rFonts w:hint="cs"/>
                <w:b/>
                <w:bCs/>
                <w:sz w:val="30"/>
                <w:rtl/>
              </w:rPr>
              <w:t>بشأن الزئبق</w:t>
            </w:r>
          </w:p>
          <w:p w:rsidRPr="00A579D1" w:rsidR="00934FB6" w:rsidP="006D0402" w:rsidRDefault="00934FB6" w14:paraId="4D278DAC" w14:textId="77777777">
            <w:pPr>
              <w:bidi/>
              <w:spacing w:line="360" w:lineRule="exact"/>
              <w:ind w:left="34" w:right="748"/>
              <w:jc w:val="both"/>
              <w:rPr>
                <w:b/>
                <w:bCs/>
                <w:sz w:val="30"/>
                <w:rtl/>
              </w:rPr>
            </w:pPr>
            <w:r>
              <w:rPr>
                <w:rFonts w:hint="cs"/>
                <w:b/>
                <w:bCs/>
                <w:sz w:val="30"/>
                <w:rtl/>
              </w:rPr>
              <w:t>الاجتماع الأول</w:t>
            </w:r>
          </w:p>
          <w:p w:rsidRPr="00252FE5" w:rsidR="00AA32A0" w:rsidP="00F17B33" w:rsidRDefault="00934FB6" w14:paraId="0172EB4F" w14:textId="77777777">
            <w:pPr>
              <w:bidi/>
              <w:spacing w:line="360" w:lineRule="exact"/>
              <w:ind w:left="34"/>
              <w:jc w:val="both"/>
              <w:rPr>
                <w:b/>
                <w:bCs/>
                <w:sz w:val="28"/>
                <w:szCs w:val="28"/>
                <w:rtl/>
              </w:rPr>
            </w:pPr>
            <w:r>
              <w:rPr>
                <w:rFonts w:hint="cs" w:ascii="Traditional Arabic" w:hAnsi="Traditional Arabic"/>
                <w:sz w:val="30"/>
                <w:rtl/>
              </w:rPr>
              <w:t>جنيف،</w:t>
            </w:r>
            <w:r w:rsidRPr="00895AF3">
              <w:rPr>
                <w:rFonts w:ascii="Traditional Arabic" w:hAnsi="Traditional Arabic"/>
                <w:sz w:val="30"/>
                <w:rtl/>
              </w:rPr>
              <w:t xml:space="preserve"> </w:t>
            </w:r>
            <w:r>
              <w:rPr>
                <w:rFonts w:hint="cs" w:ascii="Traditional Arabic" w:hAnsi="Traditional Arabic"/>
                <w:sz w:val="30"/>
                <w:rtl/>
              </w:rPr>
              <w:t>24</w:t>
            </w:r>
            <w:r w:rsidRPr="00895AF3">
              <w:rPr>
                <w:rFonts w:ascii="Traditional Arabic" w:hAnsi="Traditional Arabic"/>
                <w:sz w:val="30"/>
                <w:rtl/>
              </w:rPr>
              <w:t>-</w:t>
            </w:r>
            <w:r>
              <w:rPr>
                <w:rFonts w:hint="cs" w:ascii="Traditional Arabic" w:hAnsi="Traditional Arabic"/>
                <w:sz w:val="30"/>
                <w:rtl/>
              </w:rPr>
              <w:t>29</w:t>
            </w:r>
            <w:r w:rsidRPr="00895AF3">
              <w:rPr>
                <w:rFonts w:ascii="Traditional Arabic" w:hAnsi="Traditional Arabic"/>
                <w:sz w:val="30"/>
                <w:rtl/>
              </w:rPr>
              <w:t xml:space="preserve"> </w:t>
            </w:r>
            <w:r>
              <w:rPr>
                <w:rFonts w:hint="cs" w:ascii="Traditional Arabic" w:hAnsi="Traditional Arabic"/>
                <w:sz w:val="30"/>
                <w:rtl/>
              </w:rPr>
              <w:t>أيلول</w:t>
            </w:r>
            <w:r>
              <w:rPr>
                <w:rFonts w:ascii="Traditional Arabic" w:hAnsi="Traditional Arabic"/>
                <w:sz w:val="30"/>
                <w:rtl/>
              </w:rPr>
              <w:t>/</w:t>
            </w:r>
            <w:r>
              <w:rPr>
                <w:rFonts w:hint="cs" w:ascii="Traditional Arabic" w:hAnsi="Traditional Arabic"/>
                <w:sz w:val="30"/>
                <w:rtl/>
              </w:rPr>
              <w:t>سبتمبر</w:t>
            </w:r>
            <w:r w:rsidRPr="00895AF3">
              <w:rPr>
                <w:rFonts w:ascii="Traditional Arabic" w:hAnsi="Traditional Arabic"/>
                <w:sz w:val="30"/>
                <w:rtl/>
              </w:rPr>
              <w:t xml:space="preserve"> 201</w:t>
            </w:r>
            <w:r>
              <w:rPr>
                <w:rFonts w:hint="cs" w:ascii="Traditional Arabic" w:hAnsi="Traditional Arabic"/>
                <w:sz w:val="30"/>
                <w:rtl/>
              </w:rPr>
              <w:t>7</w:t>
            </w:r>
          </w:p>
        </w:tc>
      </w:tr>
    </w:tbl>
    <w:p w:rsidR="00377957" w:rsidP="00810ABD" w:rsidRDefault="00377957" w14:paraId="5EFB90CA"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eastAsia="Times New Roman"/>
          <w:b w:val="0"/>
          <w:bCs/>
          <w:sz w:val="34"/>
          <w:szCs w:val="34"/>
          <w:lang w:val="en-US" w:eastAsia="zh-TW"/>
        </w:rPr>
      </w:pPr>
    </w:p>
    <w:p w:rsidR="00377957" w:rsidP="00377957" w:rsidRDefault="00377957" w14:paraId="282DE620" w14:textId="2194DAFB">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eastAsia="Times New Roman"/>
          <w:b w:val="0"/>
          <w:bCs/>
          <w:sz w:val="34"/>
          <w:szCs w:val="34"/>
          <w:lang w:val="en-US" w:eastAsia="zh-TW"/>
        </w:rPr>
      </w:pPr>
      <w:r w:rsidRPr="00377957">
        <w:rPr>
          <w:rFonts w:hAnsi="Times New Roman" w:eastAsia="Times New Roman"/>
          <w:b w:val="0"/>
          <w:bCs/>
          <w:sz w:val="34"/>
          <w:szCs w:val="34"/>
          <w:rtl/>
          <w:lang w:val="en-US" w:eastAsia="zh-TW"/>
        </w:rPr>
        <w:t xml:space="preserve">المقرر الذي اعتمده مؤتمر الأطراف في اتفاقية </w:t>
      </w:r>
      <w:proofErr w:type="spellStart"/>
      <w:r w:rsidRPr="00377957">
        <w:rPr>
          <w:rFonts w:hAnsi="Times New Roman" w:eastAsia="Times New Roman"/>
          <w:b w:val="0"/>
          <w:bCs/>
          <w:sz w:val="34"/>
          <w:szCs w:val="34"/>
          <w:rtl/>
          <w:lang w:val="en-US" w:eastAsia="zh-TW"/>
        </w:rPr>
        <w:t>ميناماتا</w:t>
      </w:r>
      <w:proofErr w:type="spellEnd"/>
      <w:r w:rsidRPr="00377957">
        <w:rPr>
          <w:rFonts w:hAnsi="Times New Roman" w:eastAsia="Times New Roman"/>
          <w:b w:val="0"/>
          <w:bCs/>
          <w:sz w:val="34"/>
          <w:szCs w:val="34"/>
          <w:rtl/>
          <w:lang w:val="en-US" w:eastAsia="zh-TW"/>
        </w:rPr>
        <w:t xml:space="preserve"> بشأن الزئبق في اجتماعه الأول</w:t>
      </w:r>
    </w:p>
    <w:p w:rsidR="00377957" w:rsidP="00377957" w:rsidRDefault="00377957" w14:paraId="2A617C18"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rsidR="00377957" w:rsidP="00377957" w:rsidRDefault="00377957" w14:paraId="1F4FBCFA"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rsidRPr="004E4255" w:rsidR="00CD0AA9" w:rsidP="00CD0AA9" w:rsidRDefault="00CD0AA9" w14:paraId="1F0F2AA2" w14:textId="77777777">
      <w:pPr>
        <w:pStyle w:val="Heading1"/>
        <w:bidi/>
        <w:ind w:left="1132"/>
        <w:jc w:val="both"/>
        <w:rPr>
          <w:b/>
          <w:bCs/>
          <w:sz w:val="32"/>
          <w:szCs w:val="32"/>
          <w:u w:val="none"/>
          <w:rtl/>
        </w:rPr>
      </w:pPr>
      <w:bookmarkStart w:name="_Toc506205285" w:id="0"/>
      <w:r w:rsidRPr="004E4255">
        <w:rPr>
          <w:b/>
          <w:bCs/>
          <w:sz w:val="32"/>
          <w:szCs w:val="32"/>
          <w:u w:val="none"/>
          <w:rtl/>
        </w:rPr>
        <w:t xml:space="preserve">المقرر ا م-1/10: القواعد المالية لمؤتمر الأطراف في اتفاقية </w:t>
      </w:r>
      <w:proofErr w:type="spellStart"/>
      <w:r w:rsidRPr="004E4255">
        <w:rPr>
          <w:b/>
          <w:bCs/>
          <w:sz w:val="32"/>
          <w:szCs w:val="32"/>
          <w:u w:val="none"/>
          <w:rtl/>
        </w:rPr>
        <w:t>ميناماتا</w:t>
      </w:r>
      <w:proofErr w:type="spellEnd"/>
      <w:r w:rsidRPr="004E4255">
        <w:rPr>
          <w:b/>
          <w:bCs/>
          <w:sz w:val="32"/>
          <w:szCs w:val="32"/>
          <w:u w:val="none"/>
          <w:rtl/>
        </w:rPr>
        <w:t xml:space="preserve"> بشأن الزئبق، ولأي من هيئاته الفرعية، إضافة إلى الأحكام المالية التي تنظم سير عمل أمانة الاتفاقية</w:t>
      </w:r>
      <w:bookmarkEnd w:id="0"/>
    </w:p>
    <w:p w:rsidRPr="00540C5E" w:rsidR="00CD0AA9" w:rsidP="00CD0AA9" w:rsidRDefault="00CD0AA9" w14:paraId="23E356A1" w14:textId="77777777">
      <w:pPr>
        <w:bidi/>
        <w:spacing w:after="120" w:line="400" w:lineRule="exact"/>
        <w:ind w:left="1841"/>
        <w:jc w:val="both"/>
        <w:rPr>
          <w:rtl/>
        </w:rPr>
      </w:pPr>
      <w:r w:rsidRPr="0059508E">
        <w:rPr>
          <w:i/>
          <w:iCs/>
          <w:rtl/>
        </w:rPr>
        <w:t>إن مؤتمر الأطراف،</w:t>
      </w:r>
    </w:p>
    <w:p w:rsidRPr="0059508E" w:rsidR="00CD0AA9" w:rsidP="00CD0AA9" w:rsidRDefault="00CD0AA9" w14:paraId="637F26CB" w14:textId="77777777">
      <w:pPr>
        <w:bidi/>
        <w:spacing w:after="120" w:line="400" w:lineRule="exact"/>
        <w:ind w:left="1841"/>
        <w:jc w:val="both"/>
        <w:rPr>
          <w:color w:val="000000"/>
          <w:rtl/>
        </w:rPr>
      </w:pPr>
      <w:r w:rsidRPr="0059508E">
        <w:rPr>
          <w:i/>
          <w:iCs/>
          <w:color w:val="000000"/>
          <w:rtl/>
        </w:rPr>
        <w:t xml:space="preserve">إذ يشير </w:t>
      </w:r>
      <w:r w:rsidRPr="0059508E">
        <w:rPr>
          <w:color w:val="000000"/>
          <w:rtl/>
        </w:rPr>
        <w:t xml:space="preserve">إلى الفقرة 4 من المادة 23 من </w:t>
      </w:r>
      <w:r w:rsidRPr="003F219E">
        <w:rPr>
          <w:rFonts w:hint="eastAsia"/>
          <w:color w:val="000000"/>
          <w:rtl/>
        </w:rPr>
        <w:t>اتفاقية</w:t>
      </w:r>
      <w:r w:rsidRPr="003F219E">
        <w:rPr>
          <w:color w:val="000000"/>
          <w:rtl/>
        </w:rPr>
        <w:t xml:space="preserve"> </w:t>
      </w:r>
      <w:proofErr w:type="spellStart"/>
      <w:r w:rsidRPr="003F219E">
        <w:rPr>
          <w:rFonts w:hint="eastAsia"/>
          <w:color w:val="000000"/>
          <w:rtl/>
        </w:rPr>
        <w:t>ميناماتا</w:t>
      </w:r>
      <w:proofErr w:type="spellEnd"/>
      <w:r w:rsidRPr="003F219E">
        <w:rPr>
          <w:color w:val="000000"/>
          <w:rtl/>
        </w:rPr>
        <w:t xml:space="preserve"> </w:t>
      </w:r>
      <w:r w:rsidRPr="003F219E">
        <w:rPr>
          <w:rFonts w:hint="eastAsia"/>
          <w:color w:val="000000"/>
          <w:rtl/>
        </w:rPr>
        <w:t>بشأن</w:t>
      </w:r>
      <w:r w:rsidRPr="003F219E">
        <w:rPr>
          <w:color w:val="000000"/>
          <w:rtl/>
        </w:rPr>
        <w:t xml:space="preserve"> </w:t>
      </w:r>
      <w:r w:rsidRPr="003F219E">
        <w:rPr>
          <w:rFonts w:hint="eastAsia"/>
          <w:color w:val="000000"/>
          <w:rtl/>
        </w:rPr>
        <w:t>الزئبق</w:t>
      </w:r>
      <w:r w:rsidRPr="0059508E">
        <w:rPr>
          <w:rFonts w:hint="eastAsia"/>
          <w:color w:val="000000"/>
          <w:rtl/>
        </w:rPr>
        <w:t>،</w:t>
      </w:r>
    </w:p>
    <w:p w:rsidRPr="0059508E" w:rsidR="00CD0AA9" w:rsidP="00CD0AA9" w:rsidRDefault="00CD0AA9" w14:paraId="20001E74" w14:textId="77777777">
      <w:pPr>
        <w:tabs>
          <w:tab w:val="left" w:pos="1841"/>
        </w:tabs>
        <w:bidi/>
        <w:spacing w:after="120" w:line="400" w:lineRule="exact"/>
        <w:ind w:left="1841"/>
        <w:jc w:val="both"/>
        <w:rPr>
          <w:color w:val="000000"/>
          <w:rtl/>
        </w:rPr>
      </w:pPr>
      <w:r w:rsidRPr="0059508E">
        <w:rPr>
          <w:i/>
          <w:iCs/>
          <w:color w:val="000000"/>
          <w:rtl/>
        </w:rPr>
        <w:t>يقرر</w:t>
      </w:r>
      <w:r w:rsidRPr="0059508E">
        <w:rPr>
          <w:color w:val="000000"/>
          <w:rtl/>
        </w:rPr>
        <w:t xml:space="preserve"> اعتماد القواعد المالية لمؤتمر الأطراف وهيئاته الفرعية التي ترد في مرفق هذا المقرر.</w:t>
      </w:r>
    </w:p>
    <w:p w:rsidRPr="0059508E" w:rsidR="00CD0AA9" w:rsidP="00CD0AA9" w:rsidRDefault="00CD0AA9" w14:paraId="3F9D006A" w14:textId="77777777">
      <w:pPr>
        <w:tabs>
          <w:tab w:val="left" w:pos="2266"/>
        </w:tabs>
        <w:bidi/>
        <w:spacing w:after="120" w:line="200" w:lineRule="exact"/>
        <w:ind w:left="1701"/>
        <w:jc w:val="both"/>
        <w:rPr>
          <w:rFonts w:ascii="Traditional Arabic" w:hAnsi="Traditional Arabic"/>
          <w:sz w:val="30"/>
          <w:rtl/>
        </w:rPr>
      </w:pPr>
    </w:p>
    <w:p w:rsidRPr="0059508E" w:rsidR="00CD0AA9" w:rsidP="00CD0AA9" w:rsidRDefault="00CD0AA9" w14:paraId="0525A5CC" w14:textId="77777777">
      <w:pPr>
        <w:rPr>
          <w:rFonts w:ascii="Traditional Arabic" w:hAnsi="Traditional Arabic"/>
          <w:sz w:val="30"/>
          <w:rtl/>
        </w:rPr>
        <w:sectPr w:rsidRPr="0059508E" w:rsidR="00CD0AA9" w:rsidSect="00EA1C1B">
          <w:headerReference w:type="even" r:id="rId13"/>
          <w:headerReference w:type="default" r:id="rId14"/>
          <w:footerReference w:type="even" r:id="rId15"/>
          <w:footerReference w:type="default" r:id="rId16"/>
          <w:headerReference w:type="first" r:id="rId17"/>
          <w:footnotePr>
            <w:numRestart w:val="eachSect"/>
          </w:footnotePr>
          <w:endnotePr>
            <w:numFmt w:val="lowerLetter"/>
          </w:endnotePr>
          <w:type w:val="continuous"/>
          <w:pgSz w:w="11906" w:h="16838" w:orient="portrait" w:code="9"/>
          <w:pgMar w:top="907" w:right="1418" w:bottom="1418" w:left="992" w:header="539" w:footer="975" w:gutter="0"/>
          <w:cols w:space="720"/>
          <w:titlePg/>
          <w:bidi/>
          <w:rtlGutter/>
          <w:docGrid w:linePitch="233"/>
        </w:sectPr>
      </w:pPr>
    </w:p>
    <w:p w:rsidRPr="00540C5E" w:rsidR="00CD0AA9" w:rsidP="00CD0AA9" w:rsidRDefault="00CD0AA9" w14:paraId="10563AEF" w14:textId="77777777">
      <w:pPr>
        <w:bidi/>
        <w:spacing w:after="240" w:line="400" w:lineRule="exact"/>
        <w:ind w:left="1134"/>
        <w:jc w:val="both"/>
        <w:rPr>
          <w:b/>
          <w:bCs/>
          <w:sz w:val="32"/>
          <w:szCs w:val="32"/>
          <w:rtl/>
        </w:rPr>
      </w:pPr>
      <w:r w:rsidRPr="00540C5E">
        <w:rPr>
          <w:b/>
          <w:bCs/>
          <w:sz w:val="32"/>
          <w:szCs w:val="32"/>
          <w:rtl/>
        </w:rPr>
        <w:t>مرفق المقرر ا م-1/10</w:t>
      </w:r>
    </w:p>
    <w:p w:rsidRPr="0059508E" w:rsidR="00CD0AA9" w:rsidP="00CD0AA9" w:rsidRDefault="00CD0AA9" w14:paraId="571FA2A9" w14:textId="77777777">
      <w:pPr>
        <w:bidi/>
        <w:spacing w:after="240" w:line="400" w:lineRule="exact"/>
        <w:ind w:left="1134"/>
        <w:jc w:val="both"/>
        <w:rPr>
          <w:b/>
          <w:bCs/>
          <w:sz w:val="32"/>
          <w:szCs w:val="32"/>
          <w:rtl/>
        </w:rPr>
      </w:pPr>
      <w:r w:rsidRPr="0059508E">
        <w:rPr>
          <w:b/>
          <w:bCs/>
          <w:sz w:val="32"/>
          <w:szCs w:val="32"/>
          <w:rtl/>
        </w:rPr>
        <w:t xml:space="preserve">مشروع القواعد المالية لمؤتمر الأطراف في اتفاقية </w:t>
      </w:r>
      <w:proofErr w:type="spellStart"/>
      <w:r w:rsidRPr="0059508E">
        <w:rPr>
          <w:b/>
          <w:bCs/>
          <w:sz w:val="32"/>
          <w:szCs w:val="32"/>
          <w:rtl/>
        </w:rPr>
        <w:t>ميناماتا</w:t>
      </w:r>
      <w:proofErr w:type="spellEnd"/>
      <w:r w:rsidRPr="0059508E">
        <w:rPr>
          <w:b/>
          <w:bCs/>
          <w:sz w:val="32"/>
          <w:szCs w:val="32"/>
          <w:rtl/>
        </w:rPr>
        <w:t xml:space="preserve"> بشأن الزئبق ولهيئاته الفرعية ولأمانة الاتفاقية</w:t>
      </w:r>
    </w:p>
    <w:p w:rsidR="00CD0AA9" w:rsidP="3F9379D6" w:rsidRDefault="00CD0AA9" w14:paraId="7DD25021" w14:textId="05D9C48A">
      <w:pPr>
        <w:spacing w:after="120" w:line="400" w:lineRule="exact"/>
        <w:ind w:left="1132"/>
        <w:jc w:val="both"/>
        <w:rPr>
          <w:b w:val="1"/>
          <w:bCs w:val="1"/>
          <w:sz w:val="22"/>
          <w:szCs w:val="22"/>
          <w:rtl w:val="1"/>
        </w:rPr>
      </w:pPr>
      <w:r w:rsidRPr="3F9379D6" w:rsidR="00CD0AA9">
        <w:rPr>
          <w:b w:val="1"/>
          <w:bCs w:val="1"/>
          <w:sz w:val="22"/>
          <w:szCs w:val="22"/>
          <w:rtl w:val="1"/>
        </w:rPr>
        <w:t>النطاق</w:t>
      </w:r>
    </w:p>
    <w:p w:rsidR="5E04A5AA" w:rsidP="3F9379D6" w:rsidRDefault="5E04A5AA" w14:paraId="1D9EDC78" w14:textId="75441E08">
      <w:pPr>
        <w:bidi w:val="1"/>
        <w:spacing w:after="120" w:line="400" w:lineRule="exact"/>
        <w:ind w:left="1132"/>
        <w:jc w:val="both"/>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pPr>
      <w:proofErr w:type="spellStart"/>
      <w:r w:rsidRPr="3F9379D6" w:rsidR="5E04A5AA">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rtl w:val="1"/>
          <w:lang w:val="en-US"/>
        </w:rPr>
        <w:t>المادة</w:t>
      </w:r>
      <w:proofErr w:type="spellEnd"/>
      <w:r w:rsidRPr="3F9379D6" w:rsidR="5E04A5AA">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rtl w:val="1"/>
          <w:lang w:val="en-US"/>
        </w:rPr>
        <w:t xml:space="preserve"> </w:t>
      </w:r>
      <w:r w:rsidRPr="3F9379D6" w:rsidR="5E04A5AA">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US"/>
        </w:rPr>
        <w:t>1</w:t>
      </w:r>
    </w:p>
    <w:p w:rsidRPr="0059508E" w:rsidR="00CD0AA9" w:rsidP="00CD0AA9" w:rsidRDefault="00CD0AA9" w14:paraId="54DE04B6" w14:textId="77777777">
      <w:pPr>
        <w:bidi/>
        <w:spacing w:after="120" w:line="380" w:lineRule="exact"/>
        <w:ind w:left="1134" w:firstLine="707"/>
        <w:jc w:val="both"/>
        <w:rPr>
          <w:rtl/>
        </w:rPr>
      </w:pPr>
      <w:r w:rsidRPr="0059508E">
        <w:rPr>
          <w:rtl/>
        </w:rPr>
        <w:t xml:space="preserve">تحكم هذه القواعد المالية الإدارة المالية لمؤتمر الأطراف في اتفاقية </w:t>
      </w:r>
      <w:proofErr w:type="spellStart"/>
      <w:r w:rsidRPr="0059508E">
        <w:rPr>
          <w:rtl/>
        </w:rPr>
        <w:t>ميناماتا</w:t>
      </w:r>
      <w:proofErr w:type="spellEnd"/>
      <w:r w:rsidRPr="0059508E">
        <w:rPr>
          <w:rtl/>
        </w:rPr>
        <w:t xml:space="preserve"> بشأن الزئبق ولهيئاته الفرعية وأمانة الاتفاقية. وفيما يتعلّق بالمسائل غير المنصوص عليها تحديداً في هذه القواعد يُطَبَّق النظام المالي للأمم المتحدة.</w:t>
      </w:r>
    </w:p>
    <w:p w:rsidRPr="0059508E" w:rsidR="00CD0AA9" w:rsidP="00CD0AA9" w:rsidRDefault="00CD0AA9" w14:paraId="64678E2F" w14:textId="77777777">
      <w:pPr>
        <w:bidi/>
        <w:spacing w:after="120" w:line="400" w:lineRule="exact"/>
        <w:ind w:left="1132"/>
        <w:jc w:val="both"/>
        <w:rPr>
          <w:b/>
          <w:bCs/>
          <w:sz w:val="22"/>
          <w:szCs w:val="32"/>
          <w:rtl/>
        </w:rPr>
      </w:pPr>
      <w:r w:rsidRPr="3F9379D6" w:rsidR="00CD0AA9">
        <w:rPr>
          <w:b w:val="1"/>
          <w:bCs w:val="1"/>
          <w:sz w:val="22"/>
          <w:szCs w:val="22"/>
          <w:rtl w:val="1"/>
        </w:rPr>
        <w:t>الفترة المالية</w:t>
      </w:r>
    </w:p>
    <w:p w:rsidRPr="0059508E" w:rsidR="00CD0AA9" w:rsidP="3F9379D6" w:rsidRDefault="00CD0AA9" w14:paraId="73C699A2" w14:textId="7835E686">
      <w:pPr>
        <w:pStyle w:val="Normal"/>
        <w:bidi w:val="1"/>
        <w:spacing w:before="0" w:beforeAutospacing="off" w:after="120" w:afterAutospacing="off" w:line="400" w:lineRule="exact"/>
        <w:ind w:left="1132" w:right="0"/>
        <w:jc w:val="both"/>
        <w:rPr>
          <w:rFonts w:ascii="Times New Roman" w:hAnsi="Times New Roman" w:eastAsia="Times New Roman" w:cs="Times New Roman"/>
          <w:b w:val="1"/>
          <w:bCs w:val="1"/>
          <w:i w:val="0"/>
          <w:iCs w:val="0"/>
          <w:strike w:val="0"/>
          <w:dstrike w:val="0"/>
          <w:color w:val="000000" w:themeColor="text1" w:themeTint="FF" w:themeShade="FF"/>
          <w:sz w:val="22"/>
          <w:szCs w:val="22"/>
          <w:u w:val="none"/>
        </w:rPr>
      </w:pPr>
      <w:proofErr w:type="spellStart"/>
      <w:r w:rsidRPr="3F9379D6" w:rsidR="7DCDAB1D">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rtl w:val="1"/>
          <w:lang w:val="en-US"/>
        </w:rPr>
        <w:t>المادة</w:t>
      </w:r>
      <w:proofErr w:type="spellEnd"/>
      <w:r w:rsidRPr="3F9379D6" w:rsidR="00CD0AA9">
        <w:rPr>
          <w:rFonts w:ascii="Times New Roman" w:hAnsi="Times New Roman" w:eastAsia="Times New Roman" w:cs="Times New Roman"/>
          <w:b w:val="1"/>
          <w:bCs w:val="1"/>
          <w:i w:val="0"/>
          <w:iCs w:val="0"/>
          <w:strike w:val="0"/>
          <w:dstrike w:val="0"/>
          <w:color w:val="000000" w:themeColor="text1" w:themeTint="FF" w:themeShade="FF"/>
          <w:sz w:val="22"/>
          <w:szCs w:val="22"/>
          <w:u w:val="none"/>
          <w:rtl w:val="1"/>
        </w:rPr>
        <w:t xml:space="preserve"> </w:t>
      </w:r>
      <w:r w:rsidRPr="3F9379D6" w:rsidR="00CD0AA9">
        <w:rPr>
          <w:rFonts w:ascii="Times New Roman" w:hAnsi="Times New Roman" w:eastAsia="Times New Roman" w:cs="Times New Roman"/>
          <w:b w:val="1"/>
          <w:bCs w:val="1"/>
          <w:i w:val="0"/>
          <w:iCs w:val="0"/>
          <w:strike w:val="0"/>
          <w:dstrike w:val="0"/>
          <w:color w:val="000000" w:themeColor="text1" w:themeTint="FF" w:themeShade="FF"/>
          <w:sz w:val="22"/>
          <w:szCs w:val="22"/>
          <w:u w:val="none"/>
        </w:rPr>
        <w:t>2</w:t>
      </w:r>
    </w:p>
    <w:p w:rsidRPr="0059508E" w:rsidR="00CD0AA9" w:rsidP="00CD0AA9" w:rsidRDefault="00CD0AA9" w14:paraId="2500BFA8" w14:textId="77777777">
      <w:pPr>
        <w:bidi/>
        <w:spacing w:after="120" w:line="400" w:lineRule="exact"/>
        <w:ind w:left="1132" w:firstLine="709"/>
        <w:jc w:val="both"/>
        <w:rPr>
          <w:rtl/>
        </w:rPr>
      </w:pPr>
      <w:r w:rsidRPr="0059508E">
        <w:rPr>
          <w:rtl/>
        </w:rPr>
        <w:lastRenderedPageBreak/>
        <w:t xml:space="preserve">تكون الفترة المالية فترة سنة تقويمية. وفي العادة يتألف برنامج عمل وميزانية فترة السنتين لاتفاقية </w:t>
      </w:r>
      <w:proofErr w:type="spellStart"/>
      <w:r w:rsidRPr="0059508E">
        <w:rPr>
          <w:rtl/>
        </w:rPr>
        <w:t>ميناماتا</w:t>
      </w:r>
      <w:proofErr w:type="spellEnd"/>
      <w:r w:rsidRPr="0059508E">
        <w:rPr>
          <w:rtl/>
        </w:rPr>
        <w:t xml:space="preserve"> من سنتين تقويميتين متتاليتين، تكون أولاهما عاماً زوجياً.</w:t>
      </w:r>
    </w:p>
    <w:p w:rsidRPr="0059508E" w:rsidR="00CD0AA9" w:rsidP="00CD0AA9" w:rsidRDefault="00CD0AA9" w14:paraId="28C567C6" w14:textId="77777777">
      <w:pPr>
        <w:tabs>
          <w:tab w:val="left" w:pos="3763"/>
        </w:tabs>
        <w:bidi/>
        <w:spacing w:after="120" w:line="400" w:lineRule="exact"/>
        <w:ind w:left="1132"/>
        <w:jc w:val="both"/>
        <w:rPr>
          <w:b/>
          <w:bCs/>
          <w:sz w:val="22"/>
          <w:szCs w:val="32"/>
          <w:rtl/>
        </w:rPr>
      </w:pPr>
      <w:r w:rsidRPr="3F9379D6" w:rsidR="00CD0AA9">
        <w:rPr>
          <w:b w:val="1"/>
          <w:bCs w:val="1"/>
          <w:sz w:val="22"/>
          <w:szCs w:val="22"/>
          <w:rtl w:val="1"/>
        </w:rPr>
        <w:t>الميزانية</w:t>
      </w:r>
    </w:p>
    <w:p w:rsidRPr="0059508E" w:rsidR="00CD0AA9" w:rsidP="3F9379D6" w:rsidRDefault="00CD0AA9" w14:paraId="382AE54E" w14:textId="3653C75E">
      <w:pPr>
        <w:pStyle w:val="Normal"/>
        <w:bidi w:val="1"/>
        <w:spacing w:after="120" w:line="400" w:lineRule="exact"/>
        <w:ind w:left="1132"/>
        <w:jc w:val="both"/>
        <w:rPr>
          <w:b w:val="1"/>
          <w:bCs w:val="1"/>
          <w:sz w:val="22"/>
          <w:szCs w:val="22"/>
          <w:rtl w:val="1"/>
        </w:rPr>
      </w:pPr>
      <w:r w:rsidRPr="3F9379D6" w:rsidR="07C33AEA">
        <w:rPr>
          <w:rFonts w:ascii="Times New Roman" w:hAnsi="Times New Roman" w:eastAsia="Times New Roman" w:cs="Times New Roman"/>
          <w:b w:val="1"/>
          <w:bCs w:val="1"/>
          <w:i w:val="0"/>
          <w:iCs w:val="0"/>
          <w:strike w:val="0"/>
          <w:dstrike w:val="0"/>
          <w:noProof w:val="0"/>
          <w:color w:val="000000" w:themeColor="text1" w:themeTint="FF" w:themeShade="FF"/>
          <w:sz w:val="21"/>
          <w:szCs w:val="21"/>
          <w:u w:val="none"/>
          <w:rtl w:val="1"/>
          <w:lang w:val="en-US"/>
        </w:rPr>
        <w:t>المادة</w:t>
      </w:r>
      <w:r w:rsidRPr="3F9379D6" w:rsidR="00CD0AA9">
        <w:rPr>
          <w:b w:val="1"/>
          <w:bCs w:val="1"/>
          <w:sz w:val="22"/>
          <w:szCs w:val="22"/>
          <w:rtl w:val="1"/>
        </w:rPr>
        <w:t xml:space="preserve"> </w:t>
      </w:r>
      <w:r w:rsidRPr="3F9379D6" w:rsidR="00CD0AA9">
        <w:rPr>
          <w:b w:val="1"/>
          <w:bCs w:val="1"/>
          <w:sz w:val="22"/>
          <w:szCs w:val="22"/>
        </w:rPr>
        <w:t>3</w:t>
      </w:r>
    </w:p>
    <w:p w:rsidRPr="0059508E" w:rsidR="00CD0AA9" w:rsidP="00CD0AA9" w:rsidRDefault="00CD0AA9" w14:paraId="60ABBB06" w14:textId="77777777">
      <w:pPr>
        <w:tabs>
          <w:tab w:val="left" w:pos="1841"/>
        </w:tabs>
        <w:bidi/>
        <w:spacing w:after="120" w:line="380" w:lineRule="exact"/>
        <w:ind w:left="1132"/>
        <w:jc w:val="both"/>
        <w:rPr>
          <w:rtl/>
        </w:rPr>
      </w:pPr>
      <w:r w:rsidRPr="0059508E">
        <w:rPr>
          <w:rtl/>
        </w:rPr>
        <w:t>1 -</w:t>
      </w:r>
      <w:r w:rsidRPr="0059508E">
        <w:rPr>
          <w:rtl/>
        </w:rPr>
        <w:tab/>
      </w:r>
      <w:r w:rsidRPr="0059508E">
        <w:rPr>
          <w:rtl/>
        </w:rPr>
        <w:t xml:space="preserve">يتولّى رئيس أمانة اتفاقية </w:t>
      </w:r>
      <w:proofErr w:type="spellStart"/>
      <w:r w:rsidRPr="0059508E">
        <w:rPr>
          <w:rtl/>
        </w:rPr>
        <w:t>ميناماتا</w:t>
      </w:r>
      <w:proofErr w:type="spellEnd"/>
      <w:r w:rsidRPr="0059508E">
        <w:rPr>
          <w:rtl/>
        </w:rPr>
        <w:t xml:space="preserve"> بشأن الزئبق إعداد تقديرات الميزانية لفترة السنتين التالية بدولارات الولايات المتحدة مبيِّناً الإيرادات والمصروفات المتوقَّعة لكل سنة. وينبغي أن تُقدَّم الميزانية وفق نماذج </w:t>
      </w:r>
      <w:proofErr w:type="spellStart"/>
      <w:r w:rsidRPr="0059508E">
        <w:rPr>
          <w:rtl/>
        </w:rPr>
        <w:t>برنامجية</w:t>
      </w:r>
      <w:proofErr w:type="spellEnd"/>
      <w:r w:rsidRPr="0059508E">
        <w:rPr>
          <w:rtl/>
        </w:rPr>
        <w:t xml:space="preserve"> تتسق والنماذج المستخدَمة لدى أمانات اتفاقية بازل بشأن التحكُّم في نقل النفايات الخطرة والتخلُّص منها عبر الحدود واتفاقية روتردام المتعلقة بتطبيق إجراءات الموافقة المسبقة عن علم على مواد كيميائية ومبيدات آفات معيَّنة خطرة متداولة في التجارة الدولية واتفاقية استكهولم بشأن الملوِّثات العضوية </w:t>
      </w:r>
      <w:proofErr w:type="gramStart"/>
      <w:r w:rsidRPr="0059508E">
        <w:rPr>
          <w:rtl/>
        </w:rPr>
        <w:t>الثابتة</w:t>
      </w:r>
      <w:r w:rsidRPr="0059508E">
        <w:rPr>
          <w:vertAlign w:val="superscript"/>
          <w:rtl/>
        </w:rPr>
        <w:t>(</w:t>
      </w:r>
      <w:proofErr w:type="gramEnd"/>
      <w:r w:rsidRPr="0059508E">
        <w:rPr>
          <w:vertAlign w:val="superscript"/>
          <w:rtl/>
        </w:rPr>
        <w:footnoteReference w:id="1"/>
      </w:r>
      <w:r w:rsidRPr="0059508E">
        <w:rPr>
          <w:vertAlign w:val="superscript"/>
          <w:rtl/>
        </w:rPr>
        <w:t>)</w:t>
      </w:r>
      <w:r w:rsidRPr="0059508E">
        <w:rPr>
          <w:rtl/>
        </w:rPr>
        <w:t>. ويقوم رئيس الأمانة بإرسال التقديرات، وكذلك الإيرادات والمصروفات الفعلية لكل سنة من فترة السنتين الماضية وتقديرات النفقات الفعلية في فترة السنتين الحالية، إلى جميع الأطراف في الاتفاقية في موعد غايته تسعون يوماً على الأقل قبل افتتاح اجتماع مؤتمر الأطراف الذي ستعتَمَد الميزانية أثناءه.</w:t>
      </w:r>
    </w:p>
    <w:p w:rsidRPr="0059508E" w:rsidR="00CD0AA9" w:rsidP="00CD0AA9" w:rsidRDefault="00CD0AA9" w14:paraId="3732BF47" w14:textId="77777777">
      <w:pPr>
        <w:tabs>
          <w:tab w:val="left" w:pos="1841"/>
        </w:tabs>
        <w:bidi/>
        <w:spacing w:after="120" w:line="380" w:lineRule="exact"/>
        <w:ind w:left="1132"/>
        <w:jc w:val="both"/>
        <w:rPr>
          <w:rtl/>
        </w:rPr>
      </w:pPr>
      <w:r w:rsidRPr="0059508E">
        <w:rPr>
          <w:rtl/>
        </w:rPr>
        <w:t>2 -</w:t>
      </w:r>
      <w:r w:rsidRPr="0059508E">
        <w:rPr>
          <w:rtl/>
        </w:rPr>
        <w:tab/>
      </w:r>
      <w:r w:rsidRPr="0059508E">
        <w:rPr>
          <w:rtl/>
        </w:rPr>
        <w:t>ينظر مؤتمر الأطراف في تقديرات الميزانية المقترحة، قبل بداية الفترة المالية التي تغطيها الميزانية، ويعتمِد بتوافق الآراء ميزانية تشغيلية تأذن بمصروفات غير تلك المشار إليها في الفقر</w:t>
      </w:r>
      <w:r>
        <w:rPr>
          <w:rtl/>
        </w:rPr>
        <w:t>ات</w:t>
      </w:r>
      <w:r w:rsidRPr="0059508E">
        <w:rPr>
          <w:rtl/>
        </w:rPr>
        <w:t xml:space="preserve"> 3 و4</w:t>
      </w:r>
      <w:r>
        <w:rPr>
          <w:rtl/>
        </w:rPr>
        <w:t xml:space="preserve"> و5</w:t>
      </w:r>
      <w:r w:rsidRPr="0059508E">
        <w:rPr>
          <w:rtl/>
        </w:rPr>
        <w:t xml:space="preserve"> من ال</w:t>
      </w:r>
      <w:r>
        <w:rPr>
          <w:rtl/>
        </w:rPr>
        <w:t>مادة</w:t>
      </w:r>
      <w:r w:rsidRPr="0059508E">
        <w:rPr>
          <w:rtl/>
        </w:rPr>
        <w:t xml:space="preserve"> 4.</w:t>
      </w:r>
    </w:p>
    <w:p w:rsidRPr="0059508E" w:rsidR="00CD0AA9" w:rsidP="00CD0AA9" w:rsidRDefault="00CD0AA9" w14:paraId="30E0E86D" w14:textId="77777777">
      <w:pPr>
        <w:tabs>
          <w:tab w:val="left" w:pos="1841"/>
        </w:tabs>
        <w:bidi/>
        <w:spacing w:after="120" w:line="380" w:lineRule="exact"/>
        <w:ind w:left="1132"/>
        <w:jc w:val="both"/>
        <w:rPr>
          <w:rtl/>
        </w:rPr>
      </w:pPr>
      <w:r w:rsidRPr="0059508E">
        <w:rPr>
          <w:rtl/>
        </w:rPr>
        <w:t>3 -</w:t>
      </w:r>
      <w:r w:rsidRPr="0059508E">
        <w:rPr>
          <w:rtl/>
        </w:rPr>
        <w:tab/>
      </w:r>
      <w:r w:rsidRPr="0059508E">
        <w:rPr>
          <w:rtl/>
        </w:rPr>
        <w:t>يقدِّم رئيس الأمانة إلى مؤتمر الأطراف تقديرات لتكاليف الإجراءات التي تترتب عنها آثار في الميزانية لم ترد في مشروع برنامج العمل، لكنها أُدرجت في مشاريع المقررات المقترحة قبل اعتمادها من مؤتمر الأطراف.</w:t>
      </w:r>
    </w:p>
    <w:p w:rsidRPr="0059508E" w:rsidR="00CD0AA9" w:rsidP="00CD0AA9" w:rsidRDefault="00CD0AA9" w14:paraId="3F416B13" w14:textId="77777777">
      <w:pPr>
        <w:tabs>
          <w:tab w:val="left" w:pos="1841"/>
        </w:tabs>
        <w:bidi/>
        <w:spacing w:after="120" w:line="380" w:lineRule="exact"/>
        <w:ind w:left="1132"/>
        <w:jc w:val="both"/>
        <w:rPr>
          <w:rtl/>
        </w:rPr>
      </w:pPr>
      <w:r w:rsidRPr="0059508E">
        <w:rPr>
          <w:rtl/>
        </w:rPr>
        <w:t>4 -</w:t>
      </w:r>
      <w:r w:rsidRPr="0059508E">
        <w:rPr>
          <w:rtl/>
        </w:rPr>
        <w:tab/>
      </w:r>
      <w:r w:rsidRPr="0059508E">
        <w:rPr>
          <w:rtl/>
        </w:rPr>
        <w:t xml:space="preserve">يشكِّل اعتماد مؤتمر الأطراف للميزانية التشغيلية صلاحية لرئيس الأمانة بتحمُّل التزامات وأداء مدفوعات للأغراض التي أُقرت الاعتمادات من أجلها وفي حدود المبالغ المرصودة لذلك، على أنه يُشتَرط دائماً أن تغطَّى الالتزامات، ما لم يكن مأذوناً بها تحديداً من مؤتمر الأطراف، من الأموال </w:t>
      </w:r>
      <w:proofErr w:type="spellStart"/>
      <w:r w:rsidRPr="0059508E">
        <w:rPr>
          <w:rtl/>
        </w:rPr>
        <w:t>المتلقاة</w:t>
      </w:r>
      <w:proofErr w:type="spellEnd"/>
      <w:r w:rsidRPr="0059508E">
        <w:rPr>
          <w:rtl/>
        </w:rPr>
        <w:t xml:space="preserve"> ذات الصلة.</w:t>
      </w:r>
    </w:p>
    <w:p w:rsidRPr="0059508E" w:rsidR="00CD0AA9" w:rsidP="00CD0AA9" w:rsidRDefault="00CD0AA9" w14:paraId="4BB58AB3" w14:textId="77777777">
      <w:pPr>
        <w:tabs>
          <w:tab w:val="left" w:pos="1841"/>
        </w:tabs>
        <w:bidi/>
        <w:spacing w:after="120" w:line="380" w:lineRule="exact"/>
        <w:ind w:left="1132"/>
        <w:jc w:val="both"/>
        <w:rPr>
          <w:rtl/>
        </w:rPr>
      </w:pPr>
      <w:r w:rsidRPr="0059508E">
        <w:rPr>
          <w:rtl/>
        </w:rPr>
        <w:t>5 -</w:t>
      </w:r>
      <w:r w:rsidRPr="0059508E">
        <w:rPr>
          <w:rtl/>
        </w:rPr>
        <w:tab/>
      </w:r>
      <w:r w:rsidRPr="0059508E">
        <w:rPr>
          <w:rtl/>
        </w:rPr>
        <w:t xml:space="preserve">يجوز لرئيس الأمانة تحويل الأموال داخل كلٍ من الأبواب الرئيسية للميزانية التشغيلية المعتَمدة. ويجوز لرئيس الأمانة أيضاً تحويل الأموال بين أبواب الاعتمادات هذه بحيث يبلغ الحد الأقصى للتحويل 20 في </w:t>
      </w:r>
      <w:proofErr w:type="gramStart"/>
      <w:r w:rsidRPr="0059508E">
        <w:rPr>
          <w:rtl/>
        </w:rPr>
        <w:t>المائة</w:t>
      </w:r>
      <w:proofErr w:type="gramEnd"/>
      <w:r w:rsidRPr="0059508E">
        <w:rPr>
          <w:rtl/>
        </w:rPr>
        <w:t xml:space="preserve"> من باب الاعتماد الرئيسي الذي يجري منه التحويل، ما لم يقم مؤتمر الأطراف بوضع حدٍ آخر.</w:t>
      </w:r>
    </w:p>
    <w:p w:rsidRPr="0059508E" w:rsidR="00CD0AA9" w:rsidP="00CD0AA9" w:rsidRDefault="00CD0AA9" w14:paraId="0E96C3DB" w14:textId="77777777">
      <w:pPr>
        <w:bidi/>
        <w:spacing w:after="120" w:line="400" w:lineRule="exact"/>
        <w:ind w:left="1132"/>
        <w:jc w:val="both"/>
        <w:rPr>
          <w:b/>
          <w:bCs/>
          <w:sz w:val="22"/>
          <w:szCs w:val="32"/>
          <w:rtl/>
        </w:rPr>
      </w:pPr>
      <w:r w:rsidRPr="3F9379D6" w:rsidR="00CD0AA9">
        <w:rPr>
          <w:b w:val="1"/>
          <w:bCs w:val="1"/>
          <w:sz w:val="22"/>
          <w:szCs w:val="22"/>
          <w:rtl w:val="1"/>
        </w:rPr>
        <w:t>الصناديق</w:t>
      </w:r>
    </w:p>
    <w:p w:rsidRPr="00540C5E" w:rsidR="00CD0AA9" w:rsidP="3F9379D6" w:rsidRDefault="00CD0AA9" w14:paraId="48E45F55" w14:textId="49562838">
      <w:pPr>
        <w:pStyle w:val="Normal"/>
        <w:bidi w:val="1"/>
        <w:spacing w:after="120" w:line="400" w:lineRule="exact"/>
        <w:ind w:left="1132"/>
        <w:jc w:val="both"/>
        <w:rPr>
          <w:b w:val="1"/>
          <w:bCs w:val="1"/>
          <w:sz w:val="22"/>
          <w:szCs w:val="22"/>
          <w:rtl w:val="1"/>
        </w:rPr>
      </w:pPr>
      <w:r w:rsidRPr="3F9379D6" w:rsidR="1AFF361B">
        <w:rPr>
          <w:rFonts w:ascii="Times New Roman" w:hAnsi="Times New Roman" w:eastAsia="Times New Roman" w:cs="Times New Roman"/>
          <w:b w:val="1"/>
          <w:bCs w:val="1"/>
          <w:i w:val="0"/>
          <w:iCs w:val="0"/>
          <w:strike w:val="0"/>
          <w:dstrike w:val="0"/>
          <w:noProof w:val="0"/>
          <w:color w:val="000000" w:themeColor="text1" w:themeTint="FF" w:themeShade="FF"/>
          <w:sz w:val="21"/>
          <w:szCs w:val="21"/>
          <w:u w:val="none"/>
          <w:rtl w:val="1"/>
          <w:lang w:val="en-US"/>
        </w:rPr>
        <w:t>المادة</w:t>
      </w:r>
      <w:r w:rsidRPr="3F9379D6" w:rsidR="00CD0AA9">
        <w:rPr>
          <w:b w:val="1"/>
          <w:bCs w:val="1"/>
          <w:sz w:val="22"/>
          <w:szCs w:val="22"/>
          <w:rtl w:val="1"/>
        </w:rPr>
        <w:t xml:space="preserve"> </w:t>
      </w:r>
      <w:r w:rsidRPr="3F9379D6" w:rsidR="00CD0AA9">
        <w:rPr>
          <w:b w:val="1"/>
          <w:bCs w:val="1"/>
          <w:sz w:val="22"/>
          <w:szCs w:val="22"/>
        </w:rPr>
        <w:t>4</w:t>
      </w:r>
    </w:p>
    <w:p w:rsidRPr="0059508E" w:rsidR="00CD0AA9" w:rsidP="3F9379D6" w:rsidRDefault="00CD0AA9" w14:paraId="7C2A113F" w14:textId="2C9ED2BD">
      <w:pPr>
        <w:pStyle w:val="Normal"/>
        <w:tabs>
          <w:tab w:val="left" w:pos="1841"/>
        </w:tabs>
        <w:bidi/>
        <w:spacing w:after="120" w:line="380" w:lineRule="exact"/>
        <w:ind w:left="1132"/>
        <w:jc w:val="both"/>
        <w:rPr>
          <w:rtl w:val="1"/>
        </w:rPr>
      </w:pPr>
      <w:r w:rsidRPr="3F9379D6" w:rsidR="00CD0AA9">
        <w:rPr/>
        <w:t>1</w:t>
      </w:r>
      <w:r w:rsidRPr="3F9379D6" w:rsidR="00CD0AA9">
        <w:rPr>
          <w:rtl w:val="1"/>
        </w:rPr>
        <w:t xml:space="preserve"> -</w:t>
      </w:r>
      <w:r>
        <w:tab/>
      </w:r>
      <w:proofErr w:type="spellStart"/>
      <w:r w:rsidRPr="3F9379D6" w:rsidR="00CD0AA9">
        <w:rPr>
          <w:rtl w:val="1"/>
        </w:rPr>
        <w:t xml:space="preserve">ينشئ المدير التنفيذي لبرنامج الأمم المتحدة للبيئة صندوقاً </w:t>
      </w:r>
      <w:proofErr w:type="spellEnd"/>
      <w:r w:rsidRPr="3F9379D6" w:rsidR="00CD0AA9">
        <w:rPr>
          <w:rtl w:val="1"/>
        </w:rPr>
        <w:t>استئمانياً</w:t>
      </w:r>
      <w:r w:rsidRPr="3F9379D6" w:rsidR="00CD0AA9">
        <w:rPr>
          <w:rtl w:val="1"/>
        </w:rPr>
        <w:t xml:space="preserve"> عاماً للاتفاقية يتولى إدارته رئيس الأمانة. ويقدِّم الصندوق الدعم المالي لعمل أمانة الاتفاقية. وتودع في حساب هذا الصندوق المساهمات التي تُدفَع بموجب الفقرة </w:t>
      </w:r>
      <w:r w:rsidRPr="3F9379D6" w:rsidR="00CD0AA9">
        <w:rPr/>
        <w:t>1</w:t>
      </w:r>
      <w:r w:rsidRPr="3F9379D6" w:rsidR="00CD0AA9">
        <w:rPr>
          <w:rtl w:val="1"/>
        </w:rPr>
        <w:t xml:space="preserve"> </w:t>
      </w:r>
      <w:r w:rsidRPr="3F9379D6" w:rsidR="00CD0AA9">
        <w:rPr>
          <w:rtl w:val="1"/>
        </w:rPr>
        <w:t>من ال</w:t>
      </w:r>
      <w:r w:rsidRPr="3F9379D6" w:rsidR="00CD0AA9">
        <w:rPr>
          <w:rtl w:val="1"/>
        </w:rPr>
        <w:t>مادة</w:t>
      </w:r>
      <w:r w:rsidRPr="3F9379D6" w:rsidR="00CD0AA9">
        <w:rPr>
          <w:rtl w:val="1"/>
        </w:rPr>
        <w:t xml:space="preserve"> </w:t>
      </w:r>
      <w:r w:rsidRPr="3F9379D6" w:rsidR="00CD0AA9">
        <w:rPr/>
        <w:t>5</w:t>
      </w:r>
      <w:r w:rsidRPr="3F9379D6" w:rsidR="00CD0AA9">
        <w:rPr>
          <w:rtl w:val="1"/>
        </w:rPr>
        <w:t xml:space="preserve"> في فرعيها</w:t>
      </w:r>
      <w:r w:rsidRPr="3F9379D6" w:rsidR="00CD0AA9">
        <w:rPr>
          <w:rtl w:val="1"/>
        </w:rPr>
        <w:t xml:space="preserve"> (أ) و(ب). وتودع المساهمات التي </w:t>
      </w:r>
      <w:r w:rsidRPr="3F9379D6" w:rsidR="00CD0AA9">
        <w:rPr>
          <w:rtl w:val="1"/>
        </w:rPr>
        <w:t>يدفعها برنامج الأمم المتحدة للبيئة</w:t>
      </w:r>
      <w:r w:rsidRPr="3F9379D6" w:rsidR="00CD0AA9">
        <w:rPr>
          <w:rtl w:val="1"/>
        </w:rPr>
        <w:t xml:space="preserve"> بموجب الفقرة </w:t>
      </w:r>
      <w:r w:rsidRPr="3F9379D6" w:rsidR="00CD0AA9">
        <w:rPr/>
        <w:t>1</w:t>
      </w:r>
      <w:proofErr w:type="spellStart"/>
      <w:r w:rsidRPr="3F9379D6" w:rsidR="00CD0AA9">
        <w:rPr>
          <w:rtl w:val="1"/>
        </w:rPr>
        <w:t xml:space="preserve"> (</w:t>
      </w:r>
      <w:proofErr w:type="spellEnd"/>
      <w:r w:rsidRPr="3F9379D6" w:rsidR="00CD0AA9">
        <w:rPr>
          <w:rtl w:val="1"/>
        </w:rPr>
        <w:t>ه</w:t>
      </w:r>
      <w:proofErr w:type="spellStart"/>
      <w:r w:rsidRPr="3F9379D6" w:rsidR="00CD0AA9">
        <w:rPr>
          <w:rtl w:val="1"/>
        </w:rPr>
        <w:t>) من ال</w:t>
      </w:r>
      <w:proofErr w:type="spellEnd"/>
      <w:r w:rsidRPr="3F9379D6" w:rsidR="00CD0AA9">
        <w:rPr>
          <w:rtl w:val="1"/>
        </w:rPr>
        <w:t>مادة</w:t>
      </w:r>
      <w:proofErr w:type="spellStart"/>
      <w:r w:rsidRPr="3F9379D6" w:rsidR="00CD0AA9">
        <w:rPr>
          <w:rtl w:val="1"/>
        </w:rPr>
        <w:t xml:space="preserve"> </w:t>
      </w:r>
      <w:proofErr w:type="spellEnd"/>
      <w:r w:rsidRPr="3F9379D6" w:rsidR="00CD0AA9">
        <w:rPr/>
        <w:t>5</w:t>
      </w:r>
      <w:proofErr w:type="spellStart"/>
      <w:r w:rsidRPr="3F9379D6" w:rsidR="00CD0AA9">
        <w:rPr>
          <w:rtl w:val="1"/>
        </w:rPr>
        <w:t xml:space="preserve"> في هذا الصندوق. </w:t>
      </w:r>
      <w:proofErr w:type="spellEnd"/>
      <w:r w:rsidRPr="3F9379D6" w:rsidR="00CD0AA9">
        <w:rPr>
          <w:rtl w:val="1"/>
        </w:rPr>
        <w:t>أمّا</w:t>
      </w:r>
      <w:proofErr w:type="spellStart"/>
      <w:r w:rsidRPr="3F9379D6" w:rsidR="00CD0AA9">
        <w:rPr>
          <w:rtl w:val="1"/>
        </w:rPr>
        <w:t xml:space="preserve"> </w:t>
      </w:r>
      <w:proofErr w:type="spellEnd"/>
      <w:r w:rsidRPr="3F9379D6" w:rsidR="00CD0AA9">
        <w:rPr>
          <w:rtl w:val="1"/>
        </w:rPr>
        <w:t>جميع</w:t>
      </w:r>
      <w:proofErr w:type="spellStart"/>
      <w:r w:rsidRPr="3F9379D6" w:rsidR="00CD0AA9">
        <w:rPr>
          <w:rtl w:val="1"/>
        </w:rPr>
        <w:t xml:space="preserve"> </w:t>
      </w:r>
      <w:proofErr w:type="spellEnd"/>
      <w:r w:rsidRPr="3F9379D6" w:rsidR="00CD0AA9">
        <w:rPr>
          <w:rtl w:val="1"/>
        </w:rPr>
        <w:t>نفقات</w:t>
      </w:r>
      <w:proofErr w:type="spellStart"/>
      <w:r w:rsidRPr="3F9379D6" w:rsidR="00CD0AA9">
        <w:rPr>
          <w:rtl w:val="1"/>
        </w:rPr>
        <w:t xml:space="preserve"> </w:t>
      </w:r>
      <w:proofErr w:type="spellEnd"/>
      <w:r w:rsidRPr="3F9379D6" w:rsidR="00CD0AA9">
        <w:rPr>
          <w:rtl w:val="1"/>
        </w:rPr>
        <w:t>الميزانية</w:t>
      </w:r>
      <w:proofErr w:type="spellStart"/>
      <w:r w:rsidRPr="3F9379D6" w:rsidR="00CD0AA9">
        <w:rPr>
          <w:rtl w:val="1"/>
        </w:rPr>
        <w:t xml:space="preserve"> </w:t>
      </w:r>
      <w:proofErr w:type="spellEnd"/>
      <w:r w:rsidRPr="3F9379D6" w:rsidR="00CD0AA9">
        <w:rPr>
          <w:rtl w:val="1"/>
        </w:rPr>
        <w:t>التي</w:t>
      </w:r>
      <w:proofErr w:type="spellStart"/>
      <w:r w:rsidRPr="3F9379D6" w:rsidR="00CD0AA9">
        <w:rPr>
          <w:rtl w:val="1"/>
        </w:rPr>
        <w:t xml:space="preserve"> </w:t>
      </w:r>
      <w:proofErr w:type="spellEnd"/>
      <w:r w:rsidRPr="3F9379D6" w:rsidR="00CD0AA9">
        <w:rPr>
          <w:rtl w:val="1"/>
        </w:rPr>
        <w:t>تتم</w:t>
      </w:r>
      <w:proofErr w:type="spellStart"/>
      <w:r w:rsidRPr="3F9379D6" w:rsidR="00CD0AA9">
        <w:rPr>
          <w:rtl w:val="1"/>
        </w:rPr>
        <w:t xml:space="preserve"> </w:t>
      </w:r>
      <w:proofErr w:type="spellEnd"/>
      <w:r w:rsidRPr="3F9379D6" w:rsidR="00CD0AA9">
        <w:rPr>
          <w:rtl w:val="1"/>
        </w:rPr>
        <w:t>عملاً</w:t>
      </w:r>
      <w:r w:rsidRPr="3F9379D6" w:rsidR="00CD0AA9">
        <w:rPr>
          <w:rtl w:val="1"/>
        </w:rPr>
        <w:t xml:space="preserve"> </w:t>
      </w:r>
      <w:proofErr w:type="spellStart"/>
      <w:r w:rsidRPr="3F9379D6" w:rsidR="00CD0AA9">
        <w:rPr>
          <w:rtl w:val="1"/>
        </w:rPr>
        <w:t>بالفقرة</w:t>
      </w:r>
      <w:proofErr w:type="spellEnd"/>
      <w:r w:rsidRPr="3F9379D6" w:rsidR="00CD0AA9">
        <w:rPr>
          <w:rtl w:val="1"/>
        </w:rPr>
        <w:t xml:space="preserve"> </w:t>
      </w:r>
      <w:proofErr w:type="spellStart"/>
      <w:r w:rsidRPr="3F9379D6" w:rsidR="00CD0AA9">
        <w:rPr/>
        <w:t>4</w:t>
      </w:r>
      <w:proofErr w:type="spellEnd"/>
      <w:r w:rsidRPr="3F9379D6" w:rsidR="00CD0AA9">
        <w:rPr>
          <w:rtl w:val="1"/>
        </w:rPr>
        <w:t xml:space="preserve"> </w:t>
      </w:r>
      <w:proofErr w:type="spellStart"/>
      <w:r w:rsidRPr="3F9379D6" w:rsidR="00CD0AA9">
        <w:rPr>
          <w:rtl w:val="1"/>
        </w:rPr>
        <w:t>من</w:t>
      </w:r>
      <w:proofErr w:type="spellEnd"/>
      <w:r w:rsidRPr="3F9379D6" w:rsidR="00CD0AA9">
        <w:rPr>
          <w:rtl w:val="1"/>
        </w:rPr>
        <w:t xml:space="preserve"> </w:t>
      </w:r>
      <w:proofErr w:type="spellStart"/>
      <w:r w:rsidRPr="3F9379D6" w:rsidR="113DA3D1">
        <w:rPr>
          <w:rFonts w:ascii="Times New Roman" w:hAnsi="Times New Roman" w:eastAsia="Times New Roman" w:cs="Times New Roman"/>
          <w:b w:val="0"/>
          <w:bCs w:val="0"/>
          <w:i w:val="0"/>
          <w:iCs w:val="0"/>
          <w:strike w:val="0"/>
          <w:dstrike w:val="0"/>
          <w:noProof w:val="0"/>
          <w:color w:val="000000" w:themeColor="text1" w:themeTint="FF" w:themeShade="FF"/>
          <w:sz w:val="21"/>
          <w:szCs w:val="21"/>
          <w:u w:val="none"/>
          <w:rtl w:val="1"/>
          <w:lang w:val="en-US"/>
        </w:rPr>
        <w:t>المادة</w:t>
      </w:r>
      <w:proofErr w:type="spellEnd"/>
      <w:r w:rsidRPr="3F9379D6" w:rsidR="00CD0AA9">
        <w:rPr>
          <w:rtl w:val="1"/>
        </w:rPr>
        <w:t xml:space="preserve"> </w:t>
      </w:r>
      <w:r w:rsidRPr="3F9379D6" w:rsidR="00CD0AA9">
        <w:rPr/>
        <w:t>3</w:t>
      </w:r>
      <w:r w:rsidRPr="3F9379D6" w:rsidR="00CD0AA9">
        <w:rPr>
          <w:rtl w:val="1"/>
        </w:rPr>
        <w:t xml:space="preserve"> </w:t>
      </w:r>
      <w:r w:rsidRPr="3F9379D6" w:rsidR="00CD0AA9">
        <w:rPr>
          <w:rtl w:val="1"/>
        </w:rPr>
        <w:t>فيتحمّلها</w:t>
      </w:r>
      <w:r w:rsidRPr="3F9379D6" w:rsidR="00CD0AA9">
        <w:rPr>
          <w:rtl w:val="1"/>
        </w:rPr>
        <w:t xml:space="preserve"> </w:t>
      </w:r>
      <w:r w:rsidRPr="3F9379D6" w:rsidR="00CD0AA9">
        <w:rPr>
          <w:rtl w:val="1"/>
        </w:rPr>
        <w:t>كلها</w:t>
      </w:r>
      <w:r w:rsidRPr="3F9379D6" w:rsidR="00CD0AA9">
        <w:rPr>
          <w:rtl w:val="1"/>
        </w:rPr>
        <w:t xml:space="preserve"> </w:t>
      </w:r>
      <w:r w:rsidRPr="3F9379D6" w:rsidR="00CD0AA9">
        <w:rPr>
          <w:rtl w:val="1"/>
        </w:rPr>
        <w:t>الصندوق</w:t>
      </w:r>
      <w:r w:rsidRPr="3F9379D6" w:rsidR="00CD0AA9">
        <w:rPr>
          <w:rtl w:val="1"/>
        </w:rPr>
        <w:t xml:space="preserve"> </w:t>
      </w:r>
      <w:r w:rsidRPr="3F9379D6" w:rsidR="00CD0AA9">
        <w:rPr>
          <w:rtl w:val="1"/>
        </w:rPr>
        <w:t>الاستئماني</w:t>
      </w:r>
      <w:r w:rsidRPr="3F9379D6" w:rsidR="00CD0AA9">
        <w:rPr>
          <w:rtl w:val="1"/>
        </w:rPr>
        <w:t xml:space="preserve"> العام.</w:t>
      </w:r>
    </w:p>
    <w:p w:rsidRPr="0059508E" w:rsidR="00CD0AA9" w:rsidP="00CD0AA9" w:rsidRDefault="00CD0AA9" w14:paraId="74E4A820" w14:textId="77777777">
      <w:pPr>
        <w:tabs>
          <w:tab w:val="left" w:pos="1841"/>
        </w:tabs>
        <w:bidi/>
        <w:spacing w:after="120" w:line="380" w:lineRule="exact"/>
        <w:ind w:left="1132"/>
        <w:jc w:val="both"/>
        <w:rPr>
          <w:rtl/>
        </w:rPr>
      </w:pPr>
      <w:r w:rsidRPr="0059508E">
        <w:rPr>
          <w:rtl/>
        </w:rPr>
        <w:t>2 -</w:t>
      </w:r>
      <w:r w:rsidRPr="0059508E">
        <w:rPr>
          <w:rtl/>
        </w:rPr>
        <w:tab/>
      </w:r>
      <w:r w:rsidRPr="0059508E">
        <w:rPr>
          <w:rtl/>
        </w:rPr>
        <w:t xml:space="preserve">يتم الاحتفاظ داخل الصندوق </w:t>
      </w:r>
      <w:proofErr w:type="spellStart"/>
      <w:r w:rsidRPr="0059508E">
        <w:rPr>
          <w:rtl/>
        </w:rPr>
        <w:t>الاستئماني</w:t>
      </w:r>
      <w:proofErr w:type="spellEnd"/>
      <w:r w:rsidRPr="0059508E">
        <w:rPr>
          <w:rtl/>
        </w:rPr>
        <w:t xml:space="preserve"> العام باحتياطي رأس مال عامل يحدِّد مؤتمر الأطراف مستواه من حين إلى آخر بتوافق الآراء. وسيكون الغرض من احتياطي رأس المال العامل هو ضمان استمرارية العمليات </w:t>
      </w:r>
      <w:r w:rsidRPr="0059508E">
        <w:rPr>
          <w:rtl/>
        </w:rPr>
        <w:lastRenderedPageBreak/>
        <w:t>في حالة نقص مؤقت في النقد. وبعد أن تسحب المبالغ من احتياطي رأس المال العامل، يعاد إلى مستواه المقرَّر في أسرع وقت ممكن وفي موعد غايته نهاية السنة التالية.</w:t>
      </w:r>
    </w:p>
    <w:p w:rsidRPr="0059508E" w:rsidR="00CD0AA9" w:rsidP="00CD0AA9" w:rsidRDefault="00CD0AA9" w14:paraId="0312D8C7" w14:textId="77777777">
      <w:pPr>
        <w:tabs>
          <w:tab w:val="left" w:pos="1841"/>
        </w:tabs>
        <w:bidi/>
        <w:spacing w:after="120" w:line="380" w:lineRule="exact"/>
        <w:ind w:left="1132"/>
        <w:jc w:val="both"/>
        <w:rPr>
          <w:rtl/>
        </w:rPr>
      </w:pPr>
      <w:r w:rsidRPr="0059508E">
        <w:rPr>
          <w:rtl/>
        </w:rPr>
        <w:t>3 -</w:t>
      </w:r>
      <w:r w:rsidRPr="0059508E">
        <w:rPr>
          <w:rtl/>
        </w:rPr>
        <w:tab/>
      </w:r>
      <w:r w:rsidRPr="0059508E">
        <w:rPr>
          <w:rtl/>
        </w:rPr>
        <w:t xml:space="preserve">ينشئ المدير التنفيذي لبرنامج الأمم المتحدة للبيئة صندوقاً </w:t>
      </w:r>
      <w:proofErr w:type="spellStart"/>
      <w:r w:rsidRPr="0059508E">
        <w:rPr>
          <w:rtl/>
        </w:rPr>
        <w:t>استئمانياً</w:t>
      </w:r>
      <w:proofErr w:type="spellEnd"/>
      <w:r w:rsidRPr="0059508E">
        <w:rPr>
          <w:rtl/>
        </w:rPr>
        <w:t xml:space="preserve"> خاصاً يديره رئيس الأمانة. ويتلقّى هذا الصندوق مساهمات بموجب الفقرات من 1 (ج) إلى 1 (</w:t>
      </w:r>
      <w:r>
        <w:rPr>
          <w:rtl/>
        </w:rPr>
        <w:t>ه</w:t>
      </w:r>
      <w:r w:rsidRPr="0059508E">
        <w:rPr>
          <w:rtl/>
        </w:rPr>
        <w:t>) من ال</w:t>
      </w:r>
      <w:r>
        <w:rPr>
          <w:rtl/>
        </w:rPr>
        <w:t>مادة</w:t>
      </w:r>
      <w:r w:rsidRPr="0059508E">
        <w:rPr>
          <w:rtl/>
        </w:rPr>
        <w:t xml:space="preserve"> 5 لكي تدعم بصفة خاصة:</w:t>
      </w:r>
    </w:p>
    <w:p w:rsidRPr="0059508E" w:rsidR="00CD0AA9" w:rsidP="00CD0AA9" w:rsidRDefault="00CD0AA9" w14:paraId="0512F53B" w14:textId="77777777">
      <w:pPr>
        <w:tabs>
          <w:tab w:val="left" w:pos="2408"/>
        </w:tabs>
        <w:bidi/>
        <w:spacing w:after="120" w:line="400" w:lineRule="exact"/>
        <w:ind w:left="1132" w:firstLine="567"/>
        <w:jc w:val="both"/>
        <w:rPr>
          <w:rtl/>
        </w:rPr>
      </w:pPr>
      <w:r w:rsidRPr="0059508E">
        <w:rPr>
          <w:rtl/>
        </w:rPr>
        <w:t>(أ)</w:t>
      </w:r>
      <w:r w:rsidRPr="0059508E">
        <w:rPr>
          <w:rtl/>
        </w:rPr>
        <w:tab/>
      </w:r>
      <w:r>
        <w:rPr>
          <w:rtl/>
        </w:rPr>
        <w:t xml:space="preserve">أنشطة أمانة اتفاقية </w:t>
      </w:r>
      <w:proofErr w:type="spellStart"/>
      <w:r>
        <w:rPr>
          <w:rtl/>
        </w:rPr>
        <w:t>ميناماتا</w:t>
      </w:r>
      <w:proofErr w:type="spellEnd"/>
      <w:r>
        <w:rPr>
          <w:rtl/>
        </w:rPr>
        <w:t xml:space="preserve"> وفقاً للمادة 14</w:t>
      </w:r>
      <w:r>
        <w:rPr>
          <w:rFonts w:hint="cs"/>
          <w:rtl/>
        </w:rPr>
        <w:t>؛</w:t>
      </w:r>
    </w:p>
    <w:p w:rsidRPr="0059508E" w:rsidR="00CD0AA9" w:rsidP="00CD0AA9" w:rsidRDefault="00CD0AA9" w14:paraId="43568EFC" w14:textId="77777777">
      <w:pPr>
        <w:tabs>
          <w:tab w:val="left" w:pos="2408"/>
        </w:tabs>
        <w:bidi/>
        <w:spacing w:after="120" w:line="400" w:lineRule="exact"/>
        <w:ind w:left="1132" w:firstLine="567"/>
        <w:jc w:val="both"/>
        <w:rPr>
          <w:vertAlign w:val="superscript"/>
          <w:rtl/>
        </w:rPr>
      </w:pPr>
      <w:r w:rsidRPr="0059508E">
        <w:rPr>
          <w:rtl/>
        </w:rPr>
        <w:t>(ب)</w:t>
      </w:r>
      <w:r w:rsidRPr="0059508E">
        <w:rPr>
          <w:rtl/>
        </w:rPr>
        <w:tab/>
      </w:r>
      <w:r w:rsidRPr="0059508E">
        <w:rPr>
          <w:rtl/>
        </w:rPr>
        <w:t>مشاركة ممثلي الأطراف من البلدان النامية، وبخاصة الأطراف من أقل البلدان نمواً والدول الجزرية الصغيرة النامية والأطراف من الدول التي تمر اقتصاداتها بمرحلة انتقالية في اجتماعات مؤتمر الأطراف وهيئاته الفرعية، عملاً بالإجراء الوارد في مرفق القواعد المالية؛</w:t>
      </w:r>
    </w:p>
    <w:p w:rsidRPr="0059508E" w:rsidR="00CD0AA9" w:rsidP="00CD0AA9" w:rsidRDefault="00CD0AA9" w14:paraId="6AB82D01" w14:textId="77777777">
      <w:pPr>
        <w:tabs>
          <w:tab w:val="left" w:pos="2408"/>
        </w:tabs>
        <w:bidi/>
        <w:spacing w:after="120" w:line="400" w:lineRule="exact"/>
        <w:ind w:left="1132" w:firstLine="567"/>
        <w:jc w:val="both"/>
        <w:rPr>
          <w:rtl/>
        </w:rPr>
      </w:pPr>
      <w:r w:rsidRPr="0059508E">
        <w:rPr>
          <w:rtl/>
        </w:rPr>
        <w:t>(ج)</w:t>
      </w:r>
      <w:r w:rsidRPr="0059508E">
        <w:rPr>
          <w:rtl/>
        </w:rPr>
        <w:tab/>
      </w:r>
      <w:r w:rsidRPr="0059508E">
        <w:rPr>
          <w:rtl/>
        </w:rPr>
        <w:t>الأغراض المناسبة الأخرى بما يتفق مع أهداف الاتفاقية.</w:t>
      </w:r>
    </w:p>
    <w:p w:rsidR="00CD0AA9" w:rsidP="00CD0AA9" w:rsidRDefault="00CD0AA9" w14:paraId="36A37D9E" w14:textId="77777777">
      <w:pPr>
        <w:tabs>
          <w:tab w:val="left" w:pos="1841"/>
        </w:tabs>
        <w:bidi/>
        <w:spacing w:after="120" w:line="380" w:lineRule="exact"/>
        <w:ind w:left="1132"/>
        <w:jc w:val="both"/>
        <w:rPr>
          <w:rtl/>
        </w:rPr>
      </w:pPr>
      <w:r w:rsidRPr="0059508E">
        <w:rPr>
          <w:rtl/>
        </w:rPr>
        <w:t>4 -</w:t>
      </w:r>
      <w:r w:rsidRPr="0059508E">
        <w:rPr>
          <w:rtl/>
        </w:rPr>
        <w:tab/>
      </w:r>
      <w:r w:rsidRPr="00D27724">
        <w:rPr>
          <w:rtl/>
        </w:rPr>
        <w:t xml:space="preserve">ينشئ المدير التنفيذي لبرنامج الأمم المتحدة للبيئة صندوقاً </w:t>
      </w:r>
      <w:proofErr w:type="spellStart"/>
      <w:r w:rsidRPr="00D27724">
        <w:rPr>
          <w:rtl/>
        </w:rPr>
        <w:t>استئمانياً</w:t>
      </w:r>
      <w:proofErr w:type="spellEnd"/>
      <w:r w:rsidRPr="00D27724">
        <w:rPr>
          <w:rtl/>
        </w:rPr>
        <w:t xml:space="preserve"> محدداً للبرنامج الدولي المحدد من أجل دعم بناء القدرات والمساعدة التقنية وفقا</w:t>
      </w:r>
      <w:r>
        <w:rPr>
          <w:rFonts w:hint="cs"/>
          <w:rtl/>
        </w:rPr>
        <w:t>ً</w:t>
      </w:r>
      <w:r w:rsidRPr="00D27724">
        <w:rPr>
          <w:rtl/>
        </w:rPr>
        <w:t xml:space="preserve"> للمادة ١٣.</w:t>
      </w:r>
    </w:p>
    <w:p w:rsidRPr="0059508E" w:rsidR="00CD0AA9" w:rsidP="00CD0AA9" w:rsidRDefault="00CD0AA9" w14:paraId="3916F2B6" w14:textId="77777777">
      <w:pPr>
        <w:tabs>
          <w:tab w:val="left" w:pos="1841"/>
        </w:tabs>
        <w:bidi/>
        <w:spacing w:after="120" w:line="380" w:lineRule="exact"/>
        <w:ind w:left="1132"/>
        <w:jc w:val="both"/>
        <w:rPr>
          <w:rtl/>
        </w:rPr>
      </w:pPr>
      <w:r>
        <w:rPr>
          <w:rtl/>
        </w:rPr>
        <w:t>5 -</w:t>
      </w:r>
      <w:r>
        <w:rPr>
          <w:rtl/>
        </w:rPr>
        <w:tab/>
      </w:r>
      <w:r w:rsidRPr="0059508E">
        <w:rPr>
          <w:rtl/>
        </w:rPr>
        <w:t xml:space="preserve">للمدير التنفيذي لبرنامج الأمم المتحدة للبيئة أن ينشئ، رهناً بموافقة مؤتمر الأطراف، صناديق </w:t>
      </w:r>
      <w:proofErr w:type="spellStart"/>
      <w:r w:rsidRPr="0059508E">
        <w:rPr>
          <w:rtl/>
        </w:rPr>
        <w:t>استئمانية</w:t>
      </w:r>
      <w:proofErr w:type="spellEnd"/>
      <w:r w:rsidRPr="0059508E">
        <w:rPr>
          <w:rtl/>
        </w:rPr>
        <w:t xml:space="preserve"> أخرى شريطة أن يتسق ذلك مع أهداف الاتفاقية.</w:t>
      </w:r>
    </w:p>
    <w:p w:rsidRPr="0059508E" w:rsidR="00CD0AA9" w:rsidP="00CD0AA9" w:rsidRDefault="00CD0AA9" w14:paraId="406A0191" w14:textId="77777777">
      <w:pPr>
        <w:tabs>
          <w:tab w:val="left" w:pos="1841"/>
        </w:tabs>
        <w:bidi/>
        <w:spacing w:after="120" w:line="380" w:lineRule="exact"/>
        <w:ind w:left="1132"/>
        <w:jc w:val="both"/>
        <w:rPr>
          <w:rtl/>
        </w:rPr>
      </w:pPr>
      <w:r>
        <w:rPr>
          <w:rtl/>
        </w:rPr>
        <w:t>6</w:t>
      </w:r>
      <w:r w:rsidRPr="0059508E">
        <w:rPr>
          <w:rtl/>
        </w:rPr>
        <w:t xml:space="preserve"> -</w:t>
      </w:r>
      <w:r w:rsidRPr="0059508E">
        <w:rPr>
          <w:rtl/>
        </w:rPr>
        <w:tab/>
      </w:r>
      <w:r w:rsidRPr="0059508E">
        <w:rPr>
          <w:rtl/>
        </w:rPr>
        <w:t xml:space="preserve">إذا قرَّر مؤتمر الأطراف إنهاء عمل صندوق استئماني </w:t>
      </w:r>
      <w:r>
        <w:rPr>
          <w:rtl/>
        </w:rPr>
        <w:t>أنشئ</w:t>
      </w:r>
      <w:r w:rsidRPr="0059508E">
        <w:rPr>
          <w:rtl/>
        </w:rPr>
        <w:t xml:space="preserve"> عملاً بهذه القواعد، فإنه يُخبِر المدير التنفيذي لبرنامج الأمم المتحدة للبيئة بذلك قبل ستة أشهر على الأقل من تاريخ الإنهاء الذي يتقرّر على هذا النحو. ويبتّ مؤتمر الأطراف، بالتشاور مع المدير التنفيذي لبرنامج الأمم المتحدة للبيئة، في توزيع الأرصدة غير الملتزم بها بعد تسوية جميع نفقات التصفية.</w:t>
      </w:r>
    </w:p>
    <w:p w:rsidR="00CD0AA9" w:rsidP="00CD0AA9" w:rsidRDefault="00CD0AA9" w14:paraId="3DCADC29" w14:textId="77777777">
      <w:pPr>
        <w:rPr>
          <w:b/>
          <w:bCs/>
          <w:sz w:val="22"/>
          <w:szCs w:val="32"/>
          <w:rtl/>
        </w:rPr>
      </w:pPr>
      <w:r>
        <w:rPr>
          <w:b/>
          <w:bCs/>
          <w:sz w:val="22"/>
          <w:szCs w:val="32"/>
          <w:rtl/>
        </w:rPr>
        <w:br w:type="page"/>
      </w:r>
    </w:p>
    <w:p w:rsidRPr="0059508E" w:rsidR="00CD0AA9" w:rsidP="00CD0AA9" w:rsidRDefault="00CD0AA9" w14:paraId="2A6CEB7C" w14:textId="77777777">
      <w:pPr>
        <w:bidi/>
        <w:spacing w:after="120" w:line="400" w:lineRule="exact"/>
        <w:ind w:left="1132"/>
        <w:jc w:val="both"/>
        <w:rPr>
          <w:b/>
          <w:bCs/>
          <w:sz w:val="22"/>
          <w:szCs w:val="32"/>
          <w:rtl/>
        </w:rPr>
      </w:pPr>
      <w:r w:rsidRPr="3F9379D6" w:rsidR="00CD0AA9">
        <w:rPr>
          <w:b w:val="1"/>
          <w:bCs w:val="1"/>
          <w:sz w:val="22"/>
          <w:szCs w:val="22"/>
          <w:rtl w:val="1"/>
        </w:rPr>
        <w:t>المساهمات</w:t>
      </w:r>
    </w:p>
    <w:p w:rsidRPr="0059508E" w:rsidR="00CD0AA9" w:rsidP="3F9379D6" w:rsidRDefault="00CD0AA9" w14:paraId="2F92BEAD" w14:textId="0CBB3591">
      <w:pPr>
        <w:pStyle w:val="Normal"/>
        <w:bidi w:val="1"/>
        <w:spacing w:after="120" w:line="400" w:lineRule="exact"/>
        <w:ind w:left="1132"/>
        <w:jc w:val="both"/>
        <w:rPr>
          <w:b w:val="1"/>
          <w:bCs w:val="1"/>
          <w:sz w:val="22"/>
          <w:szCs w:val="22"/>
          <w:rtl w:val="1"/>
        </w:rPr>
      </w:pPr>
      <w:r w:rsidRPr="3F9379D6" w:rsidR="5460B000">
        <w:rPr>
          <w:rFonts w:ascii="Times New Roman" w:hAnsi="Times New Roman" w:eastAsia="Times New Roman" w:cs="Times New Roman"/>
          <w:b w:val="1"/>
          <w:bCs w:val="1"/>
          <w:i w:val="0"/>
          <w:iCs w:val="0"/>
          <w:strike w:val="0"/>
          <w:dstrike w:val="0"/>
          <w:noProof w:val="0"/>
          <w:color w:val="000000" w:themeColor="text1" w:themeTint="FF" w:themeShade="FF"/>
          <w:sz w:val="21"/>
          <w:szCs w:val="21"/>
          <w:u w:val="none"/>
          <w:rtl w:val="1"/>
          <w:lang w:val="en-US"/>
        </w:rPr>
        <w:t>المادة</w:t>
      </w:r>
      <w:r w:rsidRPr="3F9379D6" w:rsidR="00CD0AA9">
        <w:rPr>
          <w:b w:val="1"/>
          <w:bCs w:val="1"/>
          <w:sz w:val="22"/>
          <w:szCs w:val="22"/>
          <w:rtl w:val="1"/>
        </w:rPr>
        <w:t xml:space="preserve"> </w:t>
      </w:r>
      <w:r w:rsidRPr="3F9379D6" w:rsidR="00CD0AA9">
        <w:rPr>
          <w:b w:val="1"/>
          <w:bCs w:val="1"/>
          <w:sz w:val="22"/>
          <w:szCs w:val="22"/>
        </w:rPr>
        <w:t>5</w:t>
      </w:r>
    </w:p>
    <w:p w:rsidRPr="0059508E" w:rsidR="00CD0AA9" w:rsidP="00CD0AA9" w:rsidRDefault="00CD0AA9" w14:paraId="2BA9C964" w14:textId="77777777">
      <w:pPr>
        <w:tabs>
          <w:tab w:val="left" w:pos="1841"/>
        </w:tabs>
        <w:bidi/>
        <w:spacing w:after="120" w:line="380" w:lineRule="exact"/>
        <w:ind w:left="1132"/>
        <w:jc w:val="both"/>
        <w:rPr>
          <w:rtl/>
        </w:rPr>
      </w:pPr>
      <w:r w:rsidRPr="0059508E">
        <w:rPr>
          <w:rtl/>
        </w:rPr>
        <w:t>1 -</w:t>
      </w:r>
      <w:r w:rsidRPr="0059508E">
        <w:rPr>
          <w:rtl/>
        </w:rPr>
        <w:tab/>
      </w:r>
      <w:r w:rsidRPr="0059508E">
        <w:rPr>
          <w:rtl/>
        </w:rPr>
        <w:t>تتألف موارد مؤتمر الأطراف مما يلي:</w:t>
      </w:r>
    </w:p>
    <w:p w:rsidRPr="0059508E" w:rsidR="00CD0AA9" w:rsidP="00CD0AA9" w:rsidRDefault="00CD0AA9" w14:paraId="2B9FD34D" w14:textId="77777777">
      <w:pPr>
        <w:tabs>
          <w:tab w:val="left" w:pos="2408"/>
        </w:tabs>
        <w:bidi/>
        <w:spacing w:after="120" w:line="400" w:lineRule="exact"/>
        <w:ind w:left="1132" w:firstLine="709"/>
        <w:jc w:val="both"/>
        <w:rPr>
          <w:rtl/>
        </w:rPr>
      </w:pPr>
      <w:r w:rsidRPr="0059508E">
        <w:rPr>
          <w:rtl/>
        </w:rPr>
        <w:t>(أ)</w:t>
      </w:r>
      <w:r w:rsidRPr="0059508E">
        <w:rPr>
          <w:rtl/>
        </w:rPr>
        <w:tab/>
      </w:r>
      <w:r w:rsidRPr="0059508E">
        <w:rPr>
          <w:rtl/>
        </w:rPr>
        <w:t xml:space="preserve">المساهمات التي تدفعها الأطراف كل سنة على أساس الجدول الإرشادي الذي يعتمده مؤتمر الأطراف بتوافق الآراء، والذي يستند إلى جدول الأنصبة المقرّرة للأمم المتحدة الذي قد تعتمده الجمعية العامة بين الحين والآخر، معدَّلاً بحيث يضمن ألاّ يساهم أي طرف بأقل من 0,01 في </w:t>
      </w:r>
      <w:proofErr w:type="gramStart"/>
      <w:r w:rsidRPr="0059508E">
        <w:rPr>
          <w:rtl/>
        </w:rPr>
        <w:t>المائة</w:t>
      </w:r>
      <w:proofErr w:type="gramEnd"/>
      <w:r w:rsidRPr="0059508E">
        <w:rPr>
          <w:rtl/>
        </w:rPr>
        <w:t xml:space="preserve"> من إجمالي المساهمات، وألاّ</w:t>
      </w:r>
      <w:r>
        <w:rPr>
          <w:rFonts w:hint="cs"/>
          <w:rtl/>
        </w:rPr>
        <w:t> </w:t>
      </w:r>
      <w:r w:rsidRPr="0059508E">
        <w:rPr>
          <w:rtl/>
        </w:rPr>
        <w:t>تتعدّى أي مساهمة نسبة 22 في المائة من إجمالي المساهمات، وألاّ تزيد مساهمة أي طرف من أقل البلدان نمواً على 0,01 من الإجمالي؛</w:t>
      </w:r>
    </w:p>
    <w:p w:rsidRPr="0059508E" w:rsidR="00CD0AA9" w:rsidP="00CD0AA9" w:rsidRDefault="00CD0AA9" w14:paraId="2D79FFE0" w14:textId="77777777">
      <w:pPr>
        <w:tabs>
          <w:tab w:val="left" w:pos="2408"/>
        </w:tabs>
        <w:bidi/>
        <w:spacing w:after="120" w:line="400" w:lineRule="exact"/>
        <w:ind w:left="1132" w:firstLine="709"/>
        <w:jc w:val="both"/>
        <w:rPr>
          <w:rtl/>
        </w:rPr>
      </w:pPr>
      <w:r w:rsidRPr="0059508E">
        <w:rPr>
          <w:rtl/>
        </w:rPr>
        <w:t>(ب)</w:t>
      </w:r>
      <w:r w:rsidRPr="0059508E">
        <w:rPr>
          <w:rtl/>
        </w:rPr>
        <w:tab/>
      </w:r>
      <w:r w:rsidRPr="0059508E">
        <w:rPr>
          <w:rtl/>
        </w:rPr>
        <w:t>نسبة 60</w:t>
      </w:r>
      <w:r>
        <w:rPr>
          <w:rtl/>
        </w:rPr>
        <w:t xml:space="preserve"> </w:t>
      </w:r>
      <w:r w:rsidRPr="0059508E">
        <w:rPr>
          <w:rtl/>
        </w:rPr>
        <w:t xml:space="preserve">في </w:t>
      </w:r>
      <w:proofErr w:type="gramStart"/>
      <w:r w:rsidRPr="0059508E">
        <w:rPr>
          <w:rtl/>
        </w:rPr>
        <w:t>المائة</w:t>
      </w:r>
      <w:proofErr w:type="gramEnd"/>
      <w:r w:rsidRPr="0059508E">
        <w:rPr>
          <w:rtl/>
        </w:rPr>
        <w:t xml:space="preserve"> من المساهمات غير المخصصة لأغراض معينة تقدِّمها سنوياً الحكومة التي تستضيف أمانة الاتفاقية؛</w:t>
      </w:r>
    </w:p>
    <w:p w:rsidRPr="0059508E" w:rsidR="00CD0AA9" w:rsidP="00CD0AA9" w:rsidRDefault="00CD0AA9" w14:paraId="3C59F21E" w14:textId="77777777">
      <w:pPr>
        <w:tabs>
          <w:tab w:val="left" w:pos="2408"/>
        </w:tabs>
        <w:bidi/>
        <w:spacing w:after="120" w:line="400" w:lineRule="exact"/>
        <w:ind w:left="1132" w:firstLine="709"/>
        <w:jc w:val="both"/>
        <w:rPr>
          <w:rtl/>
        </w:rPr>
      </w:pPr>
      <w:r w:rsidRPr="0059508E">
        <w:rPr>
          <w:rtl/>
        </w:rPr>
        <w:t>(ج)</w:t>
      </w:r>
      <w:r w:rsidRPr="0059508E">
        <w:rPr>
          <w:rtl/>
        </w:rPr>
        <w:tab/>
      </w:r>
      <w:r w:rsidRPr="0059508E">
        <w:rPr>
          <w:rtl/>
        </w:rPr>
        <w:t>نسبة 40</w:t>
      </w:r>
      <w:r>
        <w:rPr>
          <w:rtl/>
        </w:rPr>
        <w:t xml:space="preserve"> </w:t>
      </w:r>
      <w:r w:rsidRPr="0059508E">
        <w:rPr>
          <w:rtl/>
        </w:rPr>
        <w:t xml:space="preserve">في </w:t>
      </w:r>
      <w:proofErr w:type="gramStart"/>
      <w:r w:rsidRPr="0059508E">
        <w:rPr>
          <w:rtl/>
        </w:rPr>
        <w:t>المائة</w:t>
      </w:r>
      <w:proofErr w:type="gramEnd"/>
      <w:r w:rsidRPr="0059508E">
        <w:rPr>
          <w:rtl/>
        </w:rPr>
        <w:t xml:space="preserve"> المتبقية من المساهمات غير المخصصة لأغراض معينة تقدمها سنوياً الحكومة التي تستضيف أمانة الاتفاقية، وتوضع أولوية إنفاقها للأغراض المبينة في الفقرة 3 (ب) من ال</w:t>
      </w:r>
      <w:r>
        <w:rPr>
          <w:rtl/>
        </w:rPr>
        <w:t>مادة</w:t>
      </w:r>
      <w:r w:rsidRPr="0059508E">
        <w:rPr>
          <w:rtl/>
        </w:rPr>
        <w:t xml:space="preserve"> 4؛</w:t>
      </w:r>
    </w:p>
    <w:p w:rsidRPr="0059508E" w:rsidR="00CD0AA9" w:rsidP="00CD0AA9" w:rsidRDefault="00CD0AA9" w14:paraId="61AA3626" w14:textId="77777777">
      <w:pPr>
        <w:tabs>
          <w:tab w:val="left" w:pos="2408"/>
        </w:tabs>
        <w:bidi/>
        <w:spacing w:after="120" w:line="400" w:lineRule="exact"/>
        <w:ind w:left="1132" w:firstLine="709"/>
        <w:jc w:val="both"/>
        <w:rPr>
          <w:rtl/>
        </w:rPr>
      </w:pPr>
      <w:r w:rsidRPr="0059508E">
        <w:rPr>
          <w:rtl/>
        </w:rPr>
        <w:t>(</w:t>
      </w:r>
      <w:r>
        <w:rPr>
          <w:rtl/>
        </w:rPr>
        <w:t>د</w:t>
      </w:r>
      <w:r w:rsidRPr="0059508E">
        <w:rPr>
          <w:rtl/>
        </w:rPr>
        <w:t>)</w:t>
      </w:r>
      <w:r w:rsidRPr="0059508E">
        <w:rPr>
          <w:rtl/>
        </w:rPr>
        <w:tab/>
      </w:r>
      <w:r w:rsidRPr="0059508E">
        <w:rPr>
          <w:rtl/>
        </w:rPr>
        <w:t>المساهمات التي تقدمها الأطراف سنوياً بالإضافة إلى تلك المساهمات المقدمة عملاً بالفقرات من (أ) إلى (د)؛</w:t>
      </w:r>
    </w:p>
    <w:p w:rsidRPr="0059508E" w:rsidR="00CD0AA9" w:rsidP="00CD0AA9" w:rsidRDefault="00CD0AA9" w14:paraId="59EC340F" w14:textId="77777777">
      <w:pPr>
        <w:tabs>
          <w:tab w:val="left" w:pos="2408"/>
        </w:tabs>
        <w:bidi/>
        <w:spacing w:after="120" w:line="400" w:lineRule="exact"/>
        <w:ind w:left="1132" w:firstLine="709"/>
        <w:jc w:val="both"/>
        <w:rPr>
          <w:rtl/>
        </w:rPr>
      </w:pPr>
      <w:r w:rsidRPr="0059508E">
        <w:rPr>
          <w:rtl/>
        </w:rPr>
        <w:t>(</w:t>
      </w:r>
      <w:r>
        <w:rPr>
          <w:rtl/>
        </w:rPr>
        <w:t>ه</w:t>
      </w:r>
      <w:r w:rsidRPr="0059508E">
        <w:rPr>
          <w:rtl/>
        </w:rPr>
        <w:t>)</w:t>
      </w:r>
      <w:r w:rsidRPr="0059508E">
        <w:rPr>
          <w:rtl/>
        </w:rPr>
        <w:tab/>
      </w:r>
      <w:r w:rsidRPr="0059508E">
        <w:rPr>
          <w:rtl/>
        </w:rPr>
        <w:t>المساهمات التي تقدمها الدول غير الأطراف في الاتفاقية، وكذلك المنظمات الحكومية والمنظمات الدولية غير الحكومية والمنظمات غير الحكومية وغير ذلك من المصادر؛</w:t>
      </w:r>
    </w:p>
    <w:p w:rsidRPr="0059508E" w:rsidR="00CD0AA9" w:rsidP="00CD0AA9" w:rsidRDefault="00CD0AA9" w14:paraId="5595FEA3" w14:textId="77777777">
      <w:pPr>
        <w:tabs>
          <w:tab w:val="left" w:pos="2408"/>
        </w:tabs>
        <w:bidi/>
        <w:spacing w:after="120" w:line="400" w:lineRule="exact"/>
        <w:ind w:left="1132" w:firstLine="709"/>
        <w:jc w:val="both"/>
        <w:rPr>
          <w:rtl/>
        </w:rPr>
      </w:pPr>
      <w:r w:rsidRPr="0059508E">
        <w:rPr>
          <w:rtl/>
        </w:rPr>
        <w:t>(</w:t>
      </w:r>
      <w:r>
        <w:rPr>
          <w:rtl/>
        </w:rPr>
        <w:t>و</w:t>
      </w:r>
      <w:r w:rsidRPr="0059508E">
        <w:rPr>
          <w:rtl/>
        </w:rPr>
        <w:t>)</w:t>
      </w:r>
      <w:r w:rsidRPr="0059508E">
        <w:rPr>
          <w:rtl/>
        </w:rPr>
        <w:tab/>
      </w:r>
      <w:r w:rsidRPr="0059508E">
        <w:rPr>
          <w:rtl/>
        </w:rPr>
        <w:t>الرصيد غير الملتزم به من الإيرادات الواردة من فترات مالية سابقة؛</w:t>
      </w:r>
    </w:p>
    <w:p w:rsidRPr="0059508E" w:rsidR="00CD0AA9" w:rsidP="00CD0AA9" w:rsidRDefault="00CD0AA9" w14:paraId="76568F39" w14:textId="77777777">
      <w:pPr>
        <w:tabs>
          <w:tab w:val="left" w:pos="2408"/>
        </w:tabs>
        <w:bidi/>
        <w:spacing w:after="120" w:line="400" w:lineRule="exact"/>
        <w:ind w:left="1132" w:firstLine="709"/>
        <w:jc w:val="both"/>
        <w:rPr>
          <w:rtl/>
        </w:rPr>
      </w:pPr>
      <w:r w:rsidRPr="0059508E">
        <w:rPr>
          <w:rtl/>
        </w:rPr>
        <w:t>(</w:t>
      </w:r>
      <w:r>
        <w:rPr>
          <w:rtl/>
        </w:rPr>
        <w:t>ز</w:t>
      </w:r>
      <w:r w:rsidRPr="0059508E">
        <w:rPr>
          <w:rtl/>
        </w:rPr>
        <w:t>)</w:t>
      </w:r>
      <w:r w:rsidRPr="0059508E">
        <w:rPr>
          <w:rtl/>
        </w:rPr>
        <w:tab/>
      </w:r>
      <w:r w:rsidRPr="0059508E">
        <w:rPr>
          <w:rtl/>
        </w:rPr>
        <w:t>إيرادات متنوعة.</w:t>
      </w:r>
    </w:p>
    <w:p w:rsidRPr="0059508E" w:rsidR="00CD0AA9" w:rsidP="00CD0AA9" w:rsidRDefault="00CD0AA9" w14:paraId="71C18001" w14:textId="77777777">
      <w:pPr>
        <w:tabs>
          <w:tab w:val="left" w:pos="1841"/>
          <w:tab w:val="left" w:pos="2408"/>
        </w:tabs>
        <w:bidi/>
        <w:spacing w:after="120" w:line="380" w:lineRule="exact"/>
        <w:ind w:left="1132"/>
        <w:jc w:val="both"/>
        <w:rPr>
          <w:rtl/>
        </w:rPr>
      </w:pPr>
      <w:r w:rsidRPr="0059508E">
        <w:rPr>
          <w:rtl/>
        </w:rPr>
        <w:t>2 -</w:t>
      </w:r>
      <w:r w:rsidRPr="0059508E">
        <w:rPr>
          <w:rtl/>
        </w:rPr>
        <w:tab/>
      </w:r>
      <w:r w:rsidRPr="0059508E">
        <w:rPr>
          <w:rtl/>
        </w:rPr>
        <w:t>يقوم مؤتمر الأطراف، عند إقرار جدول المساهمات الإرشادي المشار إليه في الفقرة 1 (أ) من ال</w:t>
      </w:r>
      <w:r>
        <w:rPr>
          <w:rtl/>
        </w:rPr>
        <w:t>مادة</w:t>
      </w:r>
      <w:r w:rsidRPr="0059508E">
        <w:rPr>
          <w:rtl/>
        </w:rPr>
        <w:t xml:space="preserve"> 5، بإجراء تسويات تأخذ في الحسبان مساهمات الأطراف غير الأعضاء في الأمم المتحدة وكذلك الأطراف من المنظمات الإقليمية للتكامل الاقتصادي.</w:t>
      </w:r>
    </w:p>
    <w:p w:rsidRPr="0059508E" w:rsidR="00CD0AA9" w:rsidP="3F9379D6" w:rsidRDefault="00CD0AA9" w14:paraId="2758A1C6" w14:textId="692B0A4E">
      <w:pPr>
        <w:pStyle w:val="Normal"/>
        <w:tabs>
          <w:tab w:val="left" w:pos="1841"/>
          <w:tab w:val="left" w:pos="2408"/>
        </w:tabs>
        <w:bidi/>
        <w:spacing w:after="120" w:line="380" w:lineRule="exact"/>
        <w:ind w:left="1132"/>
        <w:jc w:val="both"/>
        <w:rPr>
          <w:rtl w:val="1"/>
        </w:rPr>
      </w:pPr>
      <w:r w:rsidRPr="3F9379D6" w:rsidR="00CD0AA9">
        <w:rPr/>
        <w:t>3</w:t>
      </w:r>
      <w:r w:rsidRPr="3F9379D6" w:rsidR="00CD0AA9">
        <w:rPr>
          <w:rtl w:val="1"/>
        </w:rPr>
        <w:t xml:space="preserve"> -</w:t>
      </w:r>
      <w:r>
        <w:tab/>
      </w:r>
      <w:r w:rsidRPr="3F9379D6" w:rsidR="00CD0AA9">
        <w:rPr>
          <w:rtl w:val="1"/>
        </w:rPr>
        <w:t xml:space="preserve">وفيما يتعلق بالمساهمات التي تُقدَّم عملاً بالفقرة </w:t>
      </w:r>
      <w:r w:rsidRPr="3F9379D6" w:rsidR="00CD0AA9">
        <w:rPr/>
        <w:t>1</w:t>
      </w:r>
      <w:r w:rsidRPr="3F9379D6" w:rsidR="00CD0AA9">
        <w:rPr>
          <w:rtl w:val="1"/>
        </w:rPr>
        <w:t xml:space="preserve"> (أ) من </w:t>
      </w:r>
      <w:r w:rsidRPr="3F9379D6" w:rsidR="052CC042">
        <w:rPr>
          <w:rFonts w:ascii="Times New Roman" w:hAnsi="Times New Roman" w:eastAsia="Times New Roman" w:cs="Times New Roman"/>
          <w:b w:val="0"/>
          <w:bCs w:val="0"/>
          <w:i w:val="0"/>
          <w:iCs w:val="0"/>
          <w:strike w:val="0"/>
          <w:dstrike w:val="0"/>
          <w:noProof w:val="0"/>
          <w:color w:val="000000" w:themeColor="text1" w:themeTint="FF" w:themeShade="FF"/>
          <w:sz w:val="21"/>
          <w:szCs w:val="21"/>
          <w:u w:val="none"/>
          <w:rtl w:val="1"/>
          <w:lang w:bidi="ar-SA"/>
        </w:rPr>
        <w:t>المادة</w:t>
      </w:r>
      <w:r w:rsidRPr="3F9379D6" w:rsidR="00CD0AA9">
        <w:rPr>
          <w:rtl w:val="1"/>
        </w:rPr>
        <w:t xml:space="preserve"> </w:t>
      </w:r>
      <w:r w:rsidRPr="3F9379D6" w:rsidR="00CD0AA9">
        <w:rPr/>
        <w:t>5</w:t>
      </w:r>
      <w:r w:rsidRPr="3F9379D6" w:rsidR="00CD0AA9">
        <w:rPr>
          <w:rtl w:val="1"/>
        </w:rPr>
        <w:t>:</w:t>
      </w:r>
    </w:p>
    <w:p w:rsidRPr="0059508E" w:rsidR="00CD0AA9" w:rsidP="00CD0AA9" w:rsidRDefault="00CD0AA9" w14:paraId="0E42E2B4" w14:textId="77777777">
      <w:pPr>
        <w:tabs>
          <w:tab w:val="left" w:pos="2408"/>
        </w:tabs>
        <w:bidi/>
        <w:spacing w:after="120" w:line="400" w:lineRule="exact"/>
        <w:ind w:left="1132" w:firstLine="709"/>
        <w:jc w:val="both"/>
        <w:rPr>
          <w:rtl/>
        </w:rPr>
      </w:pPr>
      <w:r w:rsidRPr="0059508E">
        <w:rPr>
          <w:rtl/>
        </w:rPr>
        <w:t>(أ)</w:t>
      </w:r>
      <w:r w:rsidRPr="0059508E">
        <w:rPr>
          <w:rtl/>
        </w:rPr>
        <w:tab/>
      </w:r>
      <w:r w:rsidRPr="0059508E">
        <w:rPr>
          <w:rtl/>
        </w:rPr>
        <w:t>يتوقَّع تحصيل المساهمات عن كل سنة تقويمية في اليوم الأول من كانون الثاني/يناير من تلك السنة، وينبغي أن تسدّد بالكامل وفي الموعد المحدَّد لها. وينبغي إبلاغ الأطراف بقيمة اشتراكاتها للسنة في موعد أقصاه 15 تشرين الأول/أكتوبر من السنة التي تسبقها؛</w:t>
      </w:r>
    </w:p>
    <w:p w:rsidRPr="0059508E" w:rsidR="00CD0AA9" w:rsidP="00CD0AA9" w:rsidRDefault="00CD0AA9" w14:paraId="36FFC897" w14:textId="77777777">
      <w:pPr>
        <w:tabs>
          <w:tab w:val="left" w:pos="2408"/>
        </w:tabs>
        <w:bidi/>
        <w:spacing w:after="120" w:line="400" w:lineRule="exact"/>
        <w:ind w:left="1132" w:firstLine="709"/>
        <w:jc w:val="both"/>
        <w:rPr>
          <w:rtl/>
        </w:rPr>
      </w:pPr>
      <w:r w:rsidRPr="0059508E">
        <w:rPr>
          <w:rtl/>
        </w:rPr>
        <w:t>(ب)</w:t>
      </w:r>
      <w:r w:rsidRPr="0059508E">
        <w:rPr>
          <w:rtl/>
        </w:rPr>
        <w:tab/>
      </w:r>
      <w:r w:rsidRPr="0059508E">
        <w:rPr>
          <w:rtl/>
        </w:rPr>
        <w:t>يقوم كل طرف باطلاع رئيس الأمانة مسبقاً، وقبل تاريخ استحقاق المساهمة بأطول فترة ممكنة، على قيمة المساهمة التي يعتزم تقديمها والموعد المنتظَر لذلك؛</w:t>
      </w:r>
    </w:p>
    <w:p w:rsidRPr="0059508E" w:rsidR="00CD0AA9" w:rsidP="00CD0AA9" w:rsidRDefault="00CD0AA9" w14:paraId="0DBF2159" w14:textId="77777777">
      <w:pPr>
        <w:tabs>
          <w:tab w:val="left" w:pos="2408"/>
        </w:tabs>
        <w:bidi/>
        <w:spacing w:after="120" w:line="400" w:lineRule="exact"/>
        <w:ind w:left="1132" w:firstLine="709"/>
        <w:jc w:val="both"/>
        <w:rPr>
          <w:rtl/>
        </w:rPr>
      </w:pPr>
      <w:r w:rsidRPr="0059508E">
        <w:rPr>
          <w:rtl/>
        </w:rPr>
        <w:t>(ج)</w:t>
      </w:r>
      <w:r w:rsidRPr="0059508E">
        <w:rPr>
          <w:rtl/>
        </w:rPr>
        <w:tab/>
      </w:r>
      <w:r w:rsidRPr="0059508E">
        <w:rPr>
          <w:rtl/>
        </w:rPr>
        <w:t>إذا لم يتم استلام المساهمات من بعض الأطراف بحلول 31 كانون الأول/ديسمبر من السنة المعنية، يقوم رئيس الأمانة بمراسلة تلك الأطراف ليشدِّد على أهمية تسديد مساهماتها المستحقة عن الفترات السابقة، ويقوم بإبلاغ مؤتمر الأطراف في اجتماعه المقبل بالمشاورات التي أجراها مع تلك الأطراف؛</w:t>
      </w:r>
    </w:p>
    <w:p w:rsidRPr="0059508E" w:rsidR="00CD0AA9" w:rsidP="00CD0AA9" w:rsidRDefault="00CD0AA9" w14:paraId="786F1AA9" w14:textId="77777777">
      <w:pPr>
        <w:tabs>
          <w:tab w:val="left" w:pos="2408"/>
        </w:tabs>
        <w:bidi/>
        <w:spacing w:after="120" w:line="400" w:lineRule="exact"/>
        <w:ind w:left="1132" w:firstLine="709"/>
        <w:jc w:val="both"/>
        <w:rPr>
          <w:rtl/>
        </w:rPr>
      </w:pPr>
      <w:r w:rsidRPr="0059508E">
        <w:rPr>
          <w:rtl/>
        </w:rPr>
        <w:t>(د)</w:t>
      </w:r>
      <w:r w:rsidRPr="0059508E">
        <w:rPr>
          <w:rtl/>
        </w:rPr>
        <w:tab/>
      </w:r>
      <w:r w:rsidRPr="0059508E">
        <w:rPr>
          <w:rtl/>
        </w:rPr>
        <w:t xml:space="preserve">إذا لم يتم استلام مساهمات أحد الأطراف بعد سنتين أو أكثر، يقوم رئيس الأمانة بالاتفاق بشكل مشترك مع أي طرف عليه مساهمات مستحقة على وضع جدول مدفوعات يتيح لذلك الطرف دفع </w:t>
      </w:r>
      <w:r w:rsidRPr="0059508E">
        <w:rPr>
          <w:rtl/>
        </w:rPr>
        <w:lastRenderedPageBreak/>
        <w:t>مساهماته المستحقة بالكامل خلال ست سنوات، تبعاً لظروفه المالية، وعلى تسديد مساهماته المستقبلية في وقتها. ويقوم رئيس الأمانة بإبلاغ المكتب ومؤتمر الأطراف في اجتماعيهما القادمين بالتقدُّم المحرز على صعيد أيٍ من جداول المدفوعات المذكورة؛</w:t>
      </w:r>
    </w:p>
    <w:p w:rsidRPr="0059508E" w:rsidR="00CD0AA9" w:rsidP="00CD0AA9" w:rsidRDefault="00CD0AA9" w14:paraId="595EC299" w14:textId="77777777">
      <w:pPr>
        <w:tabs>
          <w:tab w:val="left" w:pos="2408"/>
        </w:tabs>
        <w:bidi/>
        <w:spacing w:after="120" w:line="400" w:lineRule="exact"/>
        <w:ind w:left="1132" w:firstLine="709"/>
        <w:jc w:val="both"/>
        <w:rPr>
          <w:rtl/>
        </w:rPr>
      </w:pPr>
      <w:r w:rsidRPr="0059508E">
        <w:rPr>
          <w:rtl/>
        </w:rPr>
        <w:t>(هـ)</w:t>
      </w:r>
      <w:r w:rsidRPr="0059508E">
        <w:rPr>
          <w:rtl/>
        </w:rPr>
        <w:tab/>
      </w:r>
      <w:r w:rsidRPr="0059508E">
        <w:rPr>
          <w:rtl/>
        </w:rPr>
        <w:t>إذا لم يتم الاتفاق بشكل مشترك على جدول للمدفوعات أو إذا لم يتم الالتزام به، يقرر مؤتمر الأطراف التدابير المناسبة، مع مراعاة الاحتياجات الخاصة والظروف الخاصة لـــــ [البلدان النامية، ولا</w:t>
      </w:r>
      <w:r>
        <w:rPr>
          <w:rFonts w:hint="cs"/>
          <w:rtl/>
        </w:rPr>
        <w:t> </w:t>
      </w:r>
      <w:r w:rsidRPr="0059508E">
        <w:rPr>
          <w:rtl/>
        </w:rPr>
        <w:t>سيما] البلدان الأقل نمواً أو الدول الجزرية الصغيرة النامية؛</w:t>
      </w:r>
    </w:p>
    <w:p w:rsidRPr="0059508E" w:rsidR="00CD0AA9" w:rsidP="00CD0AA9" w:rsidRDefault="00CD0AA9" w14:paraId="235C5581" w14:textId="77777777">
      <w:pPr>
        <w:tabs>
          <w:tab w:val="left" w:pos="2408"/>
        </w:tabs>
        <w:bidi/>
        <w:spacing w:after="120" w:line="400" w:lineRule="exact"/>
        <w:ind w:left="1132" w:firstLine="709"/>
        <w:jc w:val="both"/>
        <w:rPr>
          <w:rtl/>
        </w:rPr>
      </w:pPr>
      <w:r w:rsidRPr="0059508E">
        <w:rPr>
          <w:rtl/>
        </w:rPr>
        <w:t>(و)</w:t>
      </w:r>
      <w:r w:rsidRPr="0059508E">
        <w:rPr>
          <w:rtl/>
        </w:rPr>
        <w:tab/>
      </w:r>
      <w:r w:rsidRPr="0059508E">
        <w:rPr>
          <w:rtl/>
        </w:rPr>
        <w:t xml:space="preserve">نظراً للأهمية التي تتسم بها المشاركة الكاملة والفعّالة للأطراف من البلدان النامية، وبخاصة أقل البلدان نمواً والدول الجزرية الصغيرة النامية، والأطراف من البلدان التي تمر اقتصاداتها بمرحلة انتقالية، يجب على رئيس الأمانة أن يذَكِّر الأطراف بضرورة تسديد مساهماتها في الصندوق </w:t>
      </w:r>
      <w:proofErr w:type="spellStart"/>
      <w:r w:rsidRPr="0059508E">
        <w:rPr>
          <w:rtl/>
        </w:rPr>
        <w:t>الاستئماني</w:t>
      </w:r>
      <w:proofErr w:type="spellEnd"/>
      <w:r w:rsidRPr="0059508E">
        <w:rPr>
          <w:rtl/>
        </w:rPr>
        <w:t xml:space="preserve"> الخاص قبل ستة أشهر على الأقل من موعد انعقاد كل اجتماع عادي لمؤتمر الأطراف، مع التفكير في الحاجة المالية وحث الأطراف القادرة على أن تكفل تسديد أي مساهمات قبل ثلاثة أشهر على الأقل من موعد الاجتماع.</w:t>
      </w:r>
    </w:p>
    <w:p w:rsidRPr="0059508E" w:rsidR="00CD0AA9" w:rsidP="3F9379D6" w:rsidRDefault="00CD0AA9" w14:paraId="2848FB40" w14:textId="3A422C35">
      <w:pPr>
        <w:pStyle w:val="Normal"/>
        <w:tabs>
          <w:tab w:val="left" w:pos="1841"/>
        </w:tabs>
        <w:bidi/>
        <w:spacing w:after="120" w:line="380" w:lineRule="exact"/>
        <w:ind w:left="1132"/>
        <w:jc w:val="both"/>
        <w:rPr>
          <w:rtl w:val="1"/>
        </w:rPr>
      </w:pPr>
      <w:r w:rsidRPr="3F9379D6" w:rsidR="00CD0AA9">
        <w:rPr/>
        <w:t>4</w:t>
      </w:r>
      <w:r w:rsidRPr="3F9379D6" w:rsidR="00CD0AA9">
        <w:rPr>
          <w:rtl w:val="1"/>
        </w:rPr>
        <w:t xml:space="preserve"> -</w:t>
      </w:r>
      <w:r>
        <w:tab/>
      </w:r>
      <w:r w:rsidRPr="3F9379D6" w:rsidR="00CD0AA9">
        <w:rPr>
          <w:rtl w:val="1"/>
        </w:rPr>
        <w:t>تُستخدَم المساهمات التي تقدَّم عملاً بالفقر</w:t>
      </w:r>
      <w:r w:rsidRPr="3F9379D6" w:rsidR="00CD0AA9">
        <w:rPr>
          <w:rtl w:val="1"/>
        </w:rPr>
        <w:t>ة</w:t>
      </w:r>
      <w:r w:rsidRPr="3F9379D6" w:rsidR="00CD0AA9">
        <w:rPr>
          <w:rtl w:val="1"/>
        </w:rPr>
        <w:t xml:space="preserve"> </w:t>
      </w:r>
      <w:r w:rsidRPr="3F9379D6" w:rsidR="00CD0AA9">
        <w:rPr/>
        <w:t>1</w:t>
      </w:r>
      <w:r w:rsidRPr="3F9379D6" w:rsidR="00CD0AA9">
        <w:rPr>
          <w:rtl w:val="1"/>
        </w:rPr>
        <w:t xml:space="preserve"> من </w:t>
      </w:r>
      <w:r w:rsidRPr="3F9379D6" w:rsidR="2F26E875">
        <w:rPr>
          <w:rFonts w:ascii="Times New Roman" w:hAnsi="Times New Roman" w:eastAsia="Times New Roman" w:cs="Times New Roman"/>
          <w:b w:val="0"/>
          <w:bCs w:val="0"/>
          <w:i w:val="0"/>
          <w:iCs w:val="0"/>
          <w:strike w:val="0"/>
          <w:dstrike w:val="0"/>
          <w:noProof w:val="0"/>
          <w:color w:val="000000" w:themeColor="text1" w:themeTint="FF" w:themeShade="FF"/>
          <w:sz w:val="21"/>
          <w:szCs w:val="21"/>
          <w:u w:val="none"/>
          <w:rtl w:val="1"/>
          <w:lang w:bidi="ar-SA"/>
        </w:rPr>
        <w:t>المادة</w:t>
      </w:r>
      <w:r w:rsidRPr="3F9379D6" w:rsidR="00CD0AA9">
        <w:rPr>
          <w:rtl w:val="1"/>
        </w:rPr>
        <w:t xml:space="preserve"> </w:t>
      </w:r>
      <w:r w:rsidRPr="3F9379D6" w:rsidR="00CD0AA9">
        <w:rPr/>
        <w:t>5</w:t>
      </w:r>
      <w:r w:rsidRPr="3F9379D6" w:rsidR="00CD0AA9">
        <w:rPr>
          <w:rtl w:val="1"/>
        </w:rPr>
        <w:t xml:space="preserve"> في فرعيها </w:t>
      </w:r>
      <w:r w:rsidRPr="3F9379D6" w:rsidR="00CD0AA9">
        <w:rPr>
          <w:rtl w:val="1"/>
        </w:rPr>
        <w:t>(</w:t>
      </w:r>
      <w:r w:rsidRPr="3F9379D6" w:rsidR="00CD0AA9">
        <w:rPr>
          <w:rtl w:val="1"/>
        </w:rPr>
        <w:t>د</w:t>
      </w:r>
      <w:r w:rsidRPr="3F9379D6" w:rsidR="00CD0AA9">
        <w:rPr>
          <w:rtl w:val="1"/>
        </w:rPr>
        <w:t>) و(</w:t>
      </w:r>
      <w:r w:rsidRPr="3F9379D6" w:rsidR="00CD0AA9">
        <w:rPr>
          <w:rtl w:val="1"/>
        </w:rPr>
        <w:t>ه</w:t>
      </w:r>
      <w:r w:rsidRPr="3F9379D6" w:rsidR="00CD0AA9">
        <w:rPr>
          <w:rtl w:val="1"/>
        </w:rPr>
        <w:t>) وفقاً للأحكام والشروط المتماشية مع أهداف الاتفاقية والنظام المالي للأمم المتحدة، على النحو الذي يتم الاتفاق عليه بين رئيس الأمانة والجهات المساهِمة.</w:t>
      </w:r>
    </w:p>
    <w:p w:rsidRPr="0059508E" w:rsidR="00CD0AA9" w:rsidP="3F9379D6" w:rsidRDefault="00CD0AA9" w14:paraId="12DB815F" w14:textId="099DB0DC">
      <w:pPr>
        <w:pStyle w:val="Normal"/>
        <w:tabs>
          <w:tab w:val="left" w:pos="1841"/>
        </w:tabs>
        <w:bidi/>
        <w:spacing w:after="120" w:line="380" w:lineRule="exact"/>
        <w:ind w:left="1132"/>
        <w:jc w:val="both"/>
        <w:rPr>
          <w:rtl w:val="1"/>
        </w:rPr>
      </w:pPr>
      <w:r w:rsidRPr="3F9379D6" w:rsidR="00CD0AA9">
        <w:rPr/>
        <w:t>5</w:t>
      </w:r>
      <w:r w:rsidRPr="3F9379D6" w:rsidR="00CD0AA9">
        <w:rPr>
          <w:rtl w:val="1"/>
        </w:rPr>
        <w:t xml:space="preserve"> -</w:t>
      </w:r>
      <w:r>
        <w:tab/>
      </w:r>
      <w:r w:rsidRPr="3F9379D6" w:rsidR="00CD0AA9">
        <w:rPr>
          <w:rtl w:val="1"/>
        </w:rPr>
        <w:t xml:space="preserve">تُحسَب المساهمات المقدَّمة عملاً بالفقرة </w:t>
      </w:r>
      <w:r w:rsidRPr="3F9379D6" w:rsidR="00CD0AA9">
        <w:rPr/>
        <w:t>1</w:t>
      </w:r>
      <w:r w:rsidRPr="3F9379D6" w:rsidR="00CD0AA9">
        <w:rPr>
          <w:rtl w:val="1"/>
        </w:rPr>
        <w:t xml:space="preserve"> (أ) من </w:t>
      </w:r>
      <w:r w:rsidRPr="3F9379D6" w:rsidR="5B72BECD">
        <w:rPr>
          <w:rFonts w:ascii="Times New Roman" w:hAnsi="Times New Roman" w:eastAsia="Times New Roman" w:cs="Times New Roman"/>
          <w:b w:val="0"/>
          <w:bCs w:val="0"/>
          <w:i w:val="0"/>
          <w:iCs w:val="0"/>
          <w:strike w:val="0"/>
          <w:dstrike w:val="0"/>
          <w:noProof w:val="0"/>
          <w:color w:val="000000" w:themeColor="text1" w:themeTint="FF" w:themeShade="FF"/>
          <w:sz w:val="21"/>
          <w:szCs w:val="21"/>
          <w:u w:val="none"/>
          <w:rtl w:val="1"/>
          <w:lang w:bidi="ar-SA"/>
        </w:rPr>
        <w:t>المادة</w:t>
      </w:r>
      <w:r w:rsidRPr="3F9379D6" w:rsidR="00CD0AA9">
        <w:rPr>
          <w:rtl w:val="1"/>
        </w:rPr>
        <w:t xml:space="preserve"> </w:t>
      </w:r>
      <w:r w:rsidRPr="3F9379D6" w:rsidR="00CD0AA9">
        <w:rPr/>
        <w:t>5</w:t>
      </w:r>
      <w:r w:rsidRPr="3F9379D6" w:rsidR="00CD0AA9">
        <w:rPr>
          <w:rtl w:val="1"/>
        </w:rPr>
        <w:t>، من الدول والمنظمات الإقليمية للتكامل الاقتصادي التي تصبح أطرافاً في الاتفاقية بعد بداية الفترة المالية، على أساس تناسبي زمني عن الزمن المتبقي من الفترة المالية. وتدخل التعديلات الناتجة عن ذلك في نهاية كل فترة مالية بالنسبة إلى الأطراف الأخرى.</w:t>
      </w:r>
    </w:p>
    <w:p w:rsidR="00CD0AA9" w:rsidP="00CD0AA9" w:rsidRDefault="00CD0AA9" w14:paraId="09FED90E" w14:textId="77777777">
      <w:pPr>
        <w:tabs>
          <w:tab w:val="left" w:pos="1841"/>
        </w:tabs>
        <w:bidi/>
        <w:spacing w:after="120" w:line="380" w:lineRule="exact"/>
        <w:ind w:left="1132"/>
        <w:jc w:val="both"/>
        <w:rPr>
          <w:rtl/>
        </w:rPr>
      </w:pPr>
      <w:r w:rsidRPr="0059508E">
        <w:rPr>
          <w:rtl/>
        </w:rPr>
        <w:t>6 -</w:t>
      </w:r>
      <w:r w:rsidRPr="0059508E">
        <w:rPr>
          <w:rtl/>
        </w:rPr>
        <w:tab/>
      </w:r>
      <w:r>
        <w:rPr>
          <w:rtl/>
        </w:rPr>
        <w:t>ب</w:t>
      </w:r>
      <w:r w:rsidRPr="00704612">
        <w:rPr>
          <w:rtl/>
        </w:rPr>
        <w:t xml:space="preserve">صرف النظر عن أحكام الفقرة 3 من المادة ٤، سيكون الصندوق </w:t>
      </w:r>
      <w:proofErr w:type="spellStart"/>
      <w:r w:rsidRPr="00704612">
        <w:rPr>
          <w:rtl/>
        </w:rPr>
        <w:t>الاستئماني</w:t>
      </w:r>
      <w:proofErr w:type="spellEnd"/>
      <w:r w:rsidRPr="00704612">
        <w:rPr>
          <w:rtl/>
        </w:rPr>
        <w:t xml:space="preserve"> المحدد مفتوحاً لتلقي المساهمات من الجهات القادرة على القيام بذلك من الموقعين على الاتفاقية ومن الأطراف وغير الأطراف فيها، وكذلك من القطاع الخاص، بما في ذلك قطاع الصناعة، والمؤسسات، وغير ذلك من المنظمات غير الحكومية الأخرى والجهات المعنية الأخرى.</w:t>
      </w:r>
    </w:p>
    <w:p w:rsidRPr="0059508E" w:rsidR="00CD0AA9" w:rsidP="00CD0AA9" w:rsidRDefault="00CD0AA9" w14:paraId="10D9A2C4" w14:textId="77777777">
      <w:pPr>
        <w:tabs>
          <w:tab w:val="left" w:pos="1841"/>
        </w:tabs>
        <w:bidi/>
        <w:spacing w:after="120" w:line="380" w:lineRule="exact"/>
        <w:ind w:left="1132"/>
        <w:jc w:val="both"/>
        <w:rPr>
          <w:rtl/>
        </w:rPr>
      </w:pPr>
      <w:r>
        <w:rPr>
          <w:rtl/>
        </w:rPr>
        <w:t>7 -</w:t>
      </w:r>
      <w:r>
        <w:rPr>
          <w:rtl/>
        </w:rPr>
        <w:tab/>
      </w:r>
      <w:r w:rsidRPr="0059508E">
        <w:rPr>
          <w:rtl/>
        </w:rPr>
        <w:t>تُدفَع جميع المساهمات بدولارات الولايات المتحدة الأمريكية أو ما يعادلها بعملات قابلة للتحويل. وتودع في حساب بنكي يسميه المدير التنفيذي لبرنامج الأمم المتحدة للبيئة بالتشاور مع رئيس الأمانة. وعند التحويل إلى دولارات الولايات المتحدة، يُستخدَم سعر الصرف المعمول به في الأمم المتحدة.</w:t>
      </w:r>
    </w:p>
    <w:p w:rsidRPr="0059508E" w:rsidR="00CD0AA9" w:rsidP="00CD0AA9" w:rsidRDefault="00CD0AA9" w14:paraId="0845E0EB" w14:textId="77777777">
      <w:pPr>
        <w:tabs>
          <w:tab w:val="left" w:pos="1841"/>
        </w:tabs>
        <w:bidi/>
        <w:spacing w:after="120" w:line="380" w:lineRule="exact"/>
        <w:ind w:left="1132"/>
        <w:jc w:val="both"/>
        <w:rPr>
          <w:rtl/>
        </w:rPr>
      </w:pPr>
      <w:r>
        <w:rPr>
          <w:rtl/>
        </w:rPr>
        <w:t>8</w:t>
      </w:r>
      <w:r w:rsidRPr="0059508E">
        <w:rPr>
          <w:rtl/>
        </w:rPr>
        <w:t xml:space="preserve"> -</w:t>
      </w:r>
      <w:r w:rsidRPr="0059508E">
        <w:rPr>
          <w:rtl/>
        </w:rPr>
        <w:tab/>
      </w:r>
      <w:r w:rsidRPr="0059508E">
        <w:rPr>
          <w:rtl/>
        </w:rPr>
        <w:t>يقر رئيس الأمانة بشكل فوري باستلام كافة التعهُّدات والمساهمات، ويُبلِّغ الأطراف مرة في السنة بحالة التعهُّدات والمدفوعات من المساهمات، وذلك بنشر آخر المعلومات عنها على الموقع الشبكي للاتفاقية.</w:t>
      </w:r>
    </w:p>
    <w:p w:rsidRPr="0059508E" w:rsidR="00CD0AA9" w:rsidP="00CD0AA9" w:rsidRDefault="00CD0AA9" w14:paraId="7BD2552F" w14:textId="77777777">
      <w:pPr>
        <w:tabs>
          <w:tab w:val="left" w:pos="1841"/>
        </w:tabs>
        <w:bidi/>
        <w:spacing w:after="120" w:line="380" w:lineRule="exact"/>
        <w:ind w:left="1132"/>
        <w:jc w:val="both"/>
        <w:rPr>
          <w:rtl/>
        </w:rPr>
      </w:pPr>
      <w:r>
        <w:rPr>
          <w:rtl/>
        </w:rPr>
        <w:t>9</w:t>
      </w:r>
      <w:r w:rsidRPr="0059508E">
        <w:rPr>
          <w:rtl/>
        </w:rPr>
        <w:t xml:space="preserve"> -</w:t>
      </w:r>
      <w:r w:rsidRPr="0059508E">
        <w:rPr>
          <w:rtl/>
        </w:rPr>
        <w:tab/>
      </w:r>
      <w:r w:rsidRPr="0059508E">
        <w:rPr>
          <w:rtl/>
        </w:rPr>
        <w:t xml:space="preserve">تُستثمر المساهمات غير المطلوبة فوراً عملاً بقواعد الأمم المتحدة المعمول بها وحسب ما يراه المدير التنفيذي لبرنامج الأمم المتحدة للبيئة بالتشاور مع رئيس الأمانة. وفي حالة عدم اتفاقهما يقرر المدير التنفيذي ما ينبغي القيام به. ويقيَّد الإيراد الناجم عن ذلك لحساب الصندوق </w:t>
      </w:r>
      <w:proofErr w:type="spellStart"/>
      <w:r w:rsidRPr="0059508E">
        <w:rPr>
          <w:rtl/>
        </w:rPr>
        <w:t>الاستئماني</w:t>
      </w:r>
      <w:proofErr w:type="spellEnd"/>
      <w:r w:rsidRPr="0059508E">
        <w:rPr>
          <w:rtl/>
        </w:rPr>
        <w:t xml:space="preserve"> للاتفاقية المعنية.</w:t>
      </w:r>
    </w:p>
    <w:p w:rsidRPr="0059508E" w:rsidR="00CD0AA9" w:rsidP="00CD0AA9" w:rsidRDefault="00CD0AA9" w14:paraId="4F1AE6A8" w14:textId="77777777">
      <w:pPr>
        <w:bidi/>
        <w:ind w:left="1132"/>
        <w:rPr>
          <w:b/>
          <w:bCs/>
          <w:sz w:val="22"/>
          <w:szCs w:val="32"/>
          <w:rtl/>
        </w:rPr>
      </w:pPr>
      <w:r w:rsidRPr="3F9379D6" w:rsidR="00CD0AA9">
        <w:rPr>
          <w:b w:val="1"/>
          <w:bCs w:val="1"/>
          <w:sz w:val="22"/>
          <w:szCs w:val="22"/>
          <w:rtl w:val="1"/>
        </w:rPr>
        <w:t>الحسابات والمراجعة</w:t>
      </w:r>
    </w:p>
    <w:p w:rsidRPr="0059508E" w:rsidR="00CD0AA9" w:rsidP="3F9379D6" w:rsidRDefault="00CD0AA9" w14:paraId="560F9B2A" w14:textId="7FEF8A65">
      <w:pPr>
        <w:pStyle w:val="Normal"/>
        <w:bidi w:val="1"/>
        <w:spacing w:after="120" w:line="400" w:lineRule="exact"/>
        <w:ind w:left="1132"/>
        <w:jc w:val="both"/>
        <w:rPr>
          <w:b w:val="1"/>
          <w:bCs w:val="1"/>
          <w:sz w:val="22"/>
          <w:szCs w:val="22"/>
          <w:rtl w:val="1"/>
        </w:rPr>
      </w:pPr>
      <w:r w:rsidRPr="3F9379D6" w:rsidR="11814734">
        <w:rPr>
          <w:rFonts w:ascii="Times New Roman" w:hAnsi="Times New Roman" w:eastAsia="Times New Roman" w:cs="Times New Roman"/>
          <w:b w:val="1"/>
          <w:bCs w:val="1"/>
          <w:i w:val="0"/>
          <w:iCs w:val="0"/>
          <w:strike w:val="0"/>
          <w:dstrike w:val="0"/>
          <w:noProof w:val="0"/>
          <w:color w:val="000000" w:themeColor="text1" w:themeTint="FF" w:themeShade="FF"/>
          <w:sz w:val="21"/>
          <w:szCs w:val="21"/>
          <w:u w:val="none"/>
          <w:rtl w:val="1"/>
          <w:lang w:val="en-US"/>
        </w:rPr>
        <w:t>المادة</w:t>
      </w:r>
      <w:r w:rsidRPr="3F9379D6" w:rsidR="00CD0AA9">
        <w:rPr>
          <w:b w:val="1"/>
          <w:bCs w:val="1"/>
          <w:sz w:val="22"/>
          <w:szCs w:val="22"/>
          <w:rtl w:val="1"/>
        </w:rPr>
        <w:t xml:space="preserve"> </w:t>
      </w:r>
      <w:r w:rsidRPr="3F9379D6" w:rsidR="00CD0AA9">
        <w:rPr>
          <w:b w:val="1"/>
          <w:bCs w:val="1"/>
          <w:sz w:val="22"/>
          <w:szCs w:val="22"/>
        </w:rPr>
        <w:t>6</w:t>
      </w:r>
    </w:p>
    <w:p w:rsidRPr="0059508E" w:rsidR="00CD0AA9" w:rsidP="00CD0AA9" w:rsidRDefault="00CD0AA9" w14:paraId="2FC075D2" w14:textId="77777777">
      <w:pPr>
        <w:tabs>
          <w:tab w:val="left" w:pos="1841"/>
        </w:tabs>
        <w:bidi/>
        <w:spacing w:after="120" w:line="380" w:lineRule="exact"/>
        <w:ind w:left="1132"/>
        <w:jc w:val="both"/>
        <w:rPr>
          <w:rtl/>
        </w:rPr>
      </w:pPr>
      <w:r w:rsidRPr="0059508E">
        <w:rPr>
          <w:rtl/>
        </w:rPr>
        <w:t>1 -</w:t>
      </w:r>
      <w:r w:rsidRPr="0059508E">
        <w:rPr>
          <w:rtl/>
        </w:rPr>
        <w:tab/>
      </w:r>
      <w:r w:rsidRPr="0059508E">
        <w:rPr>
          <w:rtl/>
        </w:rPr>
        <w:t>تكون الحسابات والإدارة المالية لكافة الصناديق التي تحكمها هذه القواعد خاضعة لعملية المراجعة الداخلية والخارجية لحسابات الأمم المتحدة.</w:t>
      </w:r>
    </w:p>
    <w:p w:rsidRPr="0059508E" w:rsidR="00CD0AA9" w:rsidP="00CD0AA9" w:rsidRDefault="00CD0AA9" w14:paraId="0574D1C9" w14:textId="77777777">
      <w:pPr>
        <w:tabs>
          <w:tab w:val="left" w:pos="1841"/>
        </w:tabs>
        <w:bidi/>
        <w:spacing w:after="120" w:line="380" w:lineRule="exact"/>
        <w:ind w:left="1132"/>
        <w:jc w:val="both"/>
        <w:rPr>
          <w:rtl/>
        </w:rPr>
      </w:pPr>
      <w:r w:rsidRPr="0059508E">
        <w:rPr>
          <w:rtl/>
        </w:rPr>
        <w:lastRenderedPageBreak/>
        <w:t>2 -</w:t>
      </w:r>
      <w:r w:rsidRPr="0059508E">
        <w:rPr>
          <w:rtl/>
        </w:rPr>
        <w:tab/>
      </w:r>
      <w:r w:rsidRPr="0059508E">
        <w:rPr>
          <w:rtl/>
        </w:rPr>
        <w:t>يُقدّم كشف مؤقت بحسابات الفترة المالية إلى مؤتمر الأطراف، ويقدَّم كشف نهائي بالحسابات المراجعة عن كامل الفترة المالية إلى مؤتمر الأطراف في أسرع وقت ممكن عقب إقفال حسابات الفترة المالية.</w:t>
      </w:r>
    </w:p>
    <w:p w:rsidRPr="0059508E" w:rsidR="00CD0AA9" w:rsidP="00CD0AA9" w:rsidRDefault="00CD0AA9" w14:paraId="6DA0ACFC" w14:textId="77777777">
      <w:pPr>
        <w:tabs>
          <w:tab w:val="left" w:pos="1841"/>
        </w:tabs>
        <w:bidi/>
        <w:spacing w:after="120" w:line="380" w:lineRule="exact"/>
        <w:ind w:left="1132"/>
        <w:jc w:val="both"/>
        <w:rPr>
          <w:rtl/>
        </w:rPr>
      </w:pPr>
      <w:r w:rsidRPr="0059508E">
        <w:rPr>
          <w:rtl/>
        </w:rPr>
        <w:t>3 -</w:t>
      </w:r>
      <w:r w:rsidRPr="0059508E">
        <w:rPr>
          <w:rtl/>
        </w:rPr>
        <w:tab/>
      </w:r>
      <w:r w:rsidRPr="0059508E">
        <w:rPr>
          <w:rtl/>
        </w:rPr>
        <w:t>يُبلَّغ مؤتمر الأطراف بأي ملاحظات ذات أهمية ترد في تقارير مجلس مراجعي الحسابات للأمم المتحدة وتتعلّق بالبيانات المالية لبرنامج الأمم المتحدة للبيئة والملاحظات الواردة في التقارير الناجمة عن عمليات المراجعة الخارجية.</w:t>
      </w:r>
    </w:p>
    <w:p w:rsidRPr="0059508E" w:rsidR="00CD0AA9" w:rsidP="00CD0AA9" w:rsidRDefault="00CD0AA9" w14:paraId="48193CC0" w14:textId="77777777">
      <w:pPr>
        <w:bidi/>
        <w:spacing w:after="120" w:line="400" w:lineRule="exact"/>
        <w:ind w:left="1132"/>
        <w:jc w:val="both"/>
        <w:rPr>
          <w:b/>
          <w:bCs/>
          <w:sz w:val="22"/>
          <w:szCs w:val="32"/>
          <w:rtl/>
        </w:rPr>
      </w:pPr>
      <w:r w:rsidRPr="3F9379D6" w:rsidR="00CD0AA9">
        <w:rPr>
          <w:b w:val="1"/>
          <w:bCs w:val="1"/>
          <w:sz w:val="22"/>
          <w:szCs w:val="22"/>
          <w:rtl w:val="1"/>
        </w:rPr>
        <w:t>تكاليف الدعم الإداري</w:t>
      </w:r>
    </w:p>
    <w:p w:rsidRPr="0059508E" w:rsidR="00CD0AA9" w:rsidP="3F9379D6" w:rsidRDefault="00CD0AA9" w14:paraId="0B3C7FAC" w14:textId="28A0BDCB">
      <w:pPr>
        <w:pStyle w:val="Normal"/>
        <w:bidi w:val="1"/>
        <w:spacing w:after="120" w:line="400" w:lineRule="exact"/>
        <w:ind w:left="1132"/>
        <w:jc w:val="both"/>
        <w:rPr>
          <w:b w:val="1"/>
          <w:bCs w:val="1"/>
          <w:sz w:val="22"/>
          <w:szCs w:val="22"/>
          <w:rtl w:val="1"/>
        </w:rPr>
      </w:pPr>
      <w:r w:rsidRPr="3F9379D6" w:rsidR="376992A0">
        <w:rPr>
          <w:rFonts w:ascii="Times New Roman" w:hAnsi="Times New Roman" w:eastAsia="Times New Roman" w:cs="Times New Roman"/>
          <w:b w:val="1"/>
          <w:bCs w:val="1"/>
          <w:i w:val="0"/>
          <w:iCs w:val="0"/>
          <w:strike w:val="0"/>
          <w:dstrike w:val="0"/>
          <w:noProof w:val="0"/>
          <w:color w:val="000000" w:themeColor="text1" w:themeTint="FF" w:themeShade="FF"/>
          <w:sz w:val="21"/>
          <w:szCs w:val="21"/>
          <w:u w:val="none"/>
          <w:rtl w:val="1"/>
          <w:lang w:val="en-US"/>
        </w:rPr>
        <w:t>المادة</w:t>
      </w:r>
      <w:r w:rsidRPr="3F9379D6" w:rsidR="00CD0AA9">
        <w:rPr>
          <w:b w:val="1"/>
          <w:bCs w:val="1"/>
          <w:sz w:val="22"/>
          <w:szCs w:val="22"/>
          <w:rtl w:val="1"/>
        </w:rPr>
        <w:t xml:space="preserve"> </w:t>
      </w:r>
      <w:r w:rsidRPr="3F9379D6" w:rsidR="00CD0AA9">
        <w:rPr>
          <w:b w:val="1"/>
          <w:bCs w:val="1"/>
          <w:sz w:val="22"/>
          <w:szCs w:val="22"/>
        </w:rPr>
        <w:t>7</w:t>
      </w:r>
    </w:p>
    <w:p w:rsidRPr="0059508E" w:rsidR="00CD0AA9" w:rsidP="00CD0AA9" w:rsidRDefault="00CD0AA9" w14:paraId="2AFAAEDF" w14:textId="77777777">
      <w:pPr>
        <w:tabs>
          <w:tab w:val="left" w:pos="2266"/>
        </w:tabs>
        <w:bidi/>
        <w:spacing w:after="120" w:line="400" w:lineRule="exact"/>
        <w:ind w:left="1132" w:firstLine="709"/>
        <w:jc w:val="both"/>
        <w:rPr>
          <w:rtl/>
        </w:rPr>
      </w:pPr>
      <w:r w:rsidRPr="0059508E">
        <w:rPr>
          <w:rtl/>
        </w:rPr>
        <w:t xml:space="preserve">يرد مؤتمر الأطراف إلى برنامج الأمم المتحدة </w:t>
      </w:r>
      <w:r>
        <w:rPr>
          <w:rFonts w:hint="cs"/>
          <w:rtl/>
        </w:rPr>
        <w:t xml:space="preserve">للبيئة </w:t>
      </w:r>
      <w:r w:rsidRPr="0059508E">
        <w:rPr>
          <w:rtl/>
        </w:rPr>
        <w:t>التكاليف المترتبة على الخدمات المقدّمة إلى مؤتمر الأطراف وهيئاته الفرعية وأمانة الاتفاقية من الصناديق المشار إليها في الفقرات 1 و3 و</w:t>
      </w:r>
      <w:r>
        <w:rPr>
          <w:rFonts w:hint="cs"/>
          <w:rtl/>
        </w:rPr>
        <w:t>5</w:t>
      </w:r>
      <w:r w:rsidRPr="0059508E">
        <w:rPr>
          <w:rtl/>
        </w:rPr>
        <w:t xml:space="preserve"> من ال</w:t>
      </w:r>
      <w:r>
        <w:rPr>
          <w:rtl/>
        </w:rPr>
        <w:t>مادة</w:t>
      </w:r>
      <w:r w:rsidRPr="0059508E">
        <w:rPr>
          <w:rtl/>
        </w:rPr>
        <w:t xml:space="preserve"> 4، وبموجب الشروط التي قد يُتفَق عليها من حين لآخر بين مؤتمر الأطراف وبرنامج الأمم المتحدة للبيئة، أو في حال عدم وجود اتفاق من هذا القبيل، وفقاً للسياسة العامة المتبعة في الأمم المتحدة.</w:t>
      </w:r>
    </w:p>
    <w:p w:rsidRPr="0059508E" w:rsidR="00CD0AA9" w:rsidP="00CD0AA9" w:rsidRDefault="00CD0AA9" w14:paraId="6E135C21" w14:textId="77777777">
      <w:pPr>
        <w:bidi/>
        <w:spacing w:after="120" w:line="400" w:lineRule="exact"/>
        <w:ind w:left="1132"/>
        <w:jc w:val="both"/>
        <w:rPr>
          <w:b/>
          <w:bCs/>
          <w:sz w:val="22"/>
          <w:szCs w:val="32"/>
          <w:rtl/>
        </w:rPr>
      </w:pPr>
      <w:r w:rsidRPr="3F9379D6" w:rsidR="00CD0AA9">
        <w:rPr>
          <w:b w:val="1"/>
          <w:bCs w:val="1"/>
          <w:sz w:val="22"/>
          <w:szCs w:val="22"/>
          <w:rtl w:val="1"/>
        </w:rPr>
        <w:t>التعديلات</w:t>
      </w:r>
    </w:p>
    <w:p w:rsidRPr="0059508E" w:rsidR="00CD0AA9" w:rsidP="3F9379D6" w:rsidRDefault="00CD0AA9" w14:paraId="77C243E3" w14:textId="3B5CA992">
      <w:pPr>
        <w:pStyle w:val="Normal"/>
        <w:bidi w:val="1"/>
        <w:spacing w:after="120" w:line="400" w:lineRule="exact"/>
        <w:ind w:left="1132"/>
        <w:jc w:val="both"/>
        <w:rPr>
          <w:b w:val="1"/>
          <w:bCs w:val="1"/>
          <w:sz w:val="22"/>
          <w:szCs w:val="22"/>
          <w:rtl w:val="1"/>
        </w:rPr>
      </w:pPr>
      <w:r w:rsidRPr="3F9379D6" w:rsidR="2ED2404C">
        <w:rPr>
          <w:rFonts w:ascii="Times New Roman" w:hAnsi="Times New Roman" w:eastAsia="Times New Roman" w:cs="Times New Roman"/>
          <w:b w:val="1"/>
          <w:bCs w:val="1"/>
          <w:i w:val="0"/>
          <w:iCs w:val="0"/>
          <w:strike w:val="0"/>
          <w:dstrike w:val="0"/>
          <w:noProof w:val="0"/>
          <w:color w:val="000000" w:themeColor="text1" w:themeTint="FF" w:themeShade="FF"/>
          <w:sz w:val="21"/>
          <w:szCs w:val="21"/>
          <w:u w:val="none"/>
          <w:rtl w:val="1"/>
          <w:lang w:val="en-US"/>
        </w:rPr>
        <w:t>المادة</w:t>
      </w:r>
      <w:r w:rsidRPr="3F9379D6" w:rsidR="00CD0AA9">
        <w:rPr>
          <w:b w:val="1"/>
          <w:bCs w:val="1"/>
          <w:sz w:val="22"/>
          <w:szCs w:val="22"/>
          <w:rtl w:val="1"/>
        </w:rPr>
        <w:t xml:space="preserve"> </w:t>
      </w:r>
      <w:r w:rsidRPr="3F9379D6" w:rsidR="00CD0AA9">
        <w:rPr>
          <w:b w:val="1"/>
          <w:bCs w:val="1"/>
          <w:sz w:val="22"/>
          <w:szCs w:val="22"/>
        </w:rPr>
        <w:t>8</w:t>
      </w:r>
    </w:p>
    <w:p w:rsidRPr="0059508E" w:rsidR="00CD0AA9" w:rsidP="00CD0AA9" w:rsidRDefault="00CD0AA9" w14:paraId="72B35CDD" w14:textId="77777777">
      <w:pPr>
        <w:tabs>
          <w:tab w:val="left" w:pos="2266"/>
        </w:tabs>
        <w:bidi/>
        <w:spacing w:after="240" w:line="400" w:lineRule="exact"/>
        <w:ind w:left="1134" w:firstLine="709"/>
        <w:jc w:val="both"/>
        <w:rPr>
          <w:rtl/>
        </w:rPr>
      </w:pPr>
      <w:r w:rsidRPr="0059508E">
        <w:rPr>
          <w:rtl/>
        </w:rPr>
        <w:t>يعتمد مؤتمر الأطراف بتوافق الآراء أي تعديل يجري لهذه القواعد.</w:t>
      </w:r>
    </w:p>
    <w:p w:rsidRPr="0059508E" w:rsidR="00CD0AA9" w:rsidP="00CD0AA9" w:rsidRDefault="00CD0AA9" w14:paraId="65FE7ECC" w14:textId="77777777">
      <w:pPr>
        <w:bidi/>
        <w:spacing w:after="120" w:line="400" w:lineRule="exact"/>
        <w:ind w:left="1132"/>
        <w:jc w:val="both"/>
        <w:rPr>
          <w:b/>
          <w:bCs/>
          <w:sz w:val="22"/>
          <w:szCs w:val="32"/>
          <w:rtl/>
        </w:rPr>
      </w:pPr>
      <w:r w:rsidRPr="0059508E">
        <w:rPr>
          <w:b/>
          <w:bCs/>
          <w:sz w:val="22"/>
          <w:szCs w:val="32"/>
          <w:rtl/>
        </w:rPr>
        <w:t>مرفق للقواعد المالية</w:t>
      </w:r>
    </w:p>
    <w:p w:rsidRPr="0059508E" w:rsidR="00CD0AA9" w:rsidP="00CD0AA9" w:rsidRDefault="00CD0AA9" w14:paraId="6F534354" w14:textId="77777777">
      <w:pPr>
        <w:bidi/>
        <w:spacing w:after="120" w:line="400" w:lineRule="exact"/>
        <w:ind w:left="1132"/>
        <w:jc w:val="both"/>
        <w:rPr>
          <w:rtl/>
        </w:rPr>
      </w:pPr>
      <w:r w:rsidRPr="0059508E">
        <w:rPr>
          <w:b/>
          <w:bCs/>
          <w:rtl/>
        </w:rPr>
        <w:t xml:space="preserve">إجراءات توزيع التمويل من الصندوق </w:t>
      </w:r>
      <w:proofErr w:type="spellStart"/>
      <w:r w:rsidRPr="0059508E">
        <w:rPr>
          <w:b/>
          <w:bCs/>
          <w:rtl/>
        </w:rPr>
        <w:t>الاستئماني</w:t>
      </w:r>
      <w:proofErr w:type="spellEnd"/>
      <w:r w:rsidRPr="0059508E">
        <w:rPr>
          <w:b/>
          <w:bCs/>
          <w:rtl/>
        </w:rPr>
        <w:t xml:space="preserve"> الخاص لتسهيل مشاركة الأطراف في اجتماعات مؤتمر الأطراف</w:t>
      </w:r>
    </w:p>
    <w:p w:rsidRPr="0059508E" w:rsidR="00CD0AA9" w:rsidP="00CD0AA9" w:rsidRDefault="00CD0AA9" w14:paraId="684AEAF2" w14:textId="77777777">
      <w:pPr>
        <w:tabs>
          <w:tab w:val="left" w:pos="1841"/>
        </w:tabs>
        <w:bidi/>
        <w:spacing w:after="120" w:line="400" w:lineRule="exact"/>
        <w:ind w:left="1132"/>
        <w:jc w:val="both"/>
        <w:rPr>
          <w:rtl/>
        </w:rPr>
      </w:pPr>
      <w:r w:rsidRPr="0059508E">
        <w:rPr>
          <w:rtl/>
        </w:rPr>
        <w:t>1 -</w:t>
      </w:r>
      <w:r w:rsidRPr="0059508E">
        <w:rPr>
          <w:rtl/>
        </w:rPr>
        <w:tab/>
      </w:r>
      <w:r w:rsidRPr="0059508E">
        <w:rPr>
          <w:rtl/>
        </w:rPr>
        <w:t>ينبغي أن يهدف إجراء تسهيل مشاركة المندوبين المؤهّلين في الاجتماعات بموجب الاتفاقية إلى تحقيق المشاركة الكاملة والفعّالة في أنشطة الاتفاقية للأطراف من البلدان النامية وخاصة أقل البلدان نمواً والدول الجزرية الصغيرة النامية، وكذلك الأطراف من البلدان التي تمر اقتصاداتها بمرحلة انتقالية، وذلك لتوسيع نطاق الخبرات والمعلومات المتاحة لأطراف الاتفاقية والتشجيع على تنفيذ الاتفاقية على الصُعُد المحلية والوطنية والإقليمية والدولية.</w:t>
      </w:r>
    </w:p>
    <w:p w:rsidRPr="0059508E" w:rsidR="00CD0AA9" w:rsidP="00CD0AA9" w:rsidRDefault="00CD0AA9" w14:paraId="1D242274" w14:textId="77777777">
      <w:pPr>
        <w:tabs>
          <w:tab w:val="left" w:pos="1841"/>
        </w:tabs>
        <w:bidi/>
        <w:spacing w:after="120" w:line="400" w:lineRule="exact"/>
        <w:ind w:left="1132"/>
        <w:jc w:val="both"/>
        <w:rPr>
          <w:rtl/>
        </w:rPr>
      </w:pPr>
      <w:r w:rsidRPr="0059508E">
        <w:rPr>
          <w:rtl/>
        </w:rPr>
        <w:t>2 -</w:t>
      </w:r>
      <w:r w:rsidRPr="0059508E">
        <w:rPr>
          <w:rtl/>
        </w:rPr>
        <w:tab/>
      </w:r>
      <w:r>
        <w:rPr>
          <w:rtl/>
        </w:rPr>
        <w:t>[</w:t>
      </w:r>
      <w:r w:rsidRPr="0059508E">
        <w:rPr>
          <w:rtl/>
        </w:rPr>
        <w:t>وينبغي أن يُعط</w:t>
      </w:r>
      <w:r>
        <w:rPr>
          <w:rtl/>
        </w:rPr>
        <w:t>ي</w:t>
      </w:r>
      <w:r w:rsidRPr="0059508E">
        <w:rPr>
          <w:rtl/>
        </w:rPr>
        <w:t xml:space="preserve"> الإجراء [أولوية] اهتماماً [خاصاً] لأقل البلدان نمواً والدول الجزرية الصغيرة النامية ويهدف بعد ذلك إلى كفالة التمثيل الكافي لجميع الأطراف المؤهّلة. وينبغي أن يظل مسترشداً بالممارسات الثابتة للأمم المتحدة.</w:t>
      </w:r>
      <w:r>
        <w:rPr>
          <w:rtl/>
        </w:rPr>
        <w:t>]</w:t>
      </w:r>
    </w:p>
    <w:p w:rsidRPr="0059508E" w:rsidR="00CD0AA9" w:rsidP="00CD0AA9" w:rsidRDefault="00CD0AA9" w14:paraId="0E4A7C22" w14:textId="77777777">
      <w:pPr>
        <w:tabs>
          <w:tab w:val="left" w:pos="1841"/>
        </w:tabs>
        <w:bidi/>
        <w:spacing w:after="120" w:line="400" w:lineRule="exact"/>
        <w:ind w:left="1132"/>
        <w:jc w:val="both"/>
        <w:rPr>
          <w:rtl/>
        </w:rPr>
      </w:pPr>
      <w:r w:rsidRPr="0059508E">
        <w:rPr>
          <w:rtl/>
        </w:rPr>
        <w:t>3 -</w:t>
      </w:r>
      <w:r w:rsidRPr="0059508E">
        <w:rPr>
          <w:rtl/>
        </w:rPr>
        <w:tab/>
      </w:r>
      <w:r w:rsidRPr="0059508E">
        <w:rPr>
          <w:rtl/>
        </w:rPr>
        <w:t>وينبغي أن تُبلّغ الأمانة الأطراف بأسرع ما يمكن بمواعيد وأماكن اجتماعات مؤتمر الأطراف، ويفضل أن يكون ذلك قبل الاجتماع بستة أشهر.</w:t>
      </w:r>
    </w:p>
    <w:p w:rsidRPr="0059508E" w:rsidR="00CD0AA9" w:rsidP="00CD0AA9" w:rsidRDefault="00CD0AA9" w14:paraId="5A88DC79" w14:textId="77777777">
      <w:pPr>
        <w:tabs>
          <w:tab w:val="left" w:pos="1841"/>
        </w:tabs>
        <w:bidi/>
        <w:spacing w:after="120" w:line="400" w:lineRule="exact"/>
        <w:ind w:left="1132"/>
        <w:jc w:val="both"/>
        <w:rPr>
          <w:rtl/>
        </w:rPr>
      </w:pPr>
      <w:r w:rsidRPr="0059508E">
        <w:rPr>
          <w:rtl/>
        </w:rPr>
        <w:t>4 -</w:t>
      </w:r>
      <w:r w:rsidRPr="0059508E">
        <w:rPr>
          <w:rtl/>
        </w:rPr>
        <w:tab/>
      </w:r>
      <w:r w:rsidRPr="0059508E">
        <w:rPr>
          <w:rtl/>
        </w:rPr>
        <w:t>وبعد إرسال الإخطار بانعقاد أي اجتماع ينبغي دعوة الأطراف المؤهّلة لإبلاغ الأمانة، عن طريق قنوات الاتصال الرسمية، وبأسرع ما يمكن وفي موعد لا يتجاوز ثلاثة أشهر قبل الاجتماع، إن كانت تنوي طلب التمويل.</w:t>
      </w:r>
    </w:p>
    <w:p w:rsidRPr="0059508E" w:rsidR="00CD0AA9" w:rsidP="00CD0AA9" w:rsidRDefault="00CD0AA9" w14:paraId="4F7EE9AB" w14:textId="77777777">
      <w:pPr>
        <w:tabs>
          <w:tab w:val="left" w:pos="1841"/>
        </w:tabs>
        <w:bidi/>
        <w:spacing w:after="120" w:line="400" w:lineRule="exact"/>
        <w:ind w:left="1134"/>
        <w:jc w:val="both"/>
        <w:rPr>
          <w:rtl/>
        </w:rPr>
      </w:pPr>
      <w:r w:rsidRPr="0059508E">
        <w:rPr>
          <w:rtl/>
        </w:rPr>
        <w:t>5 -</w:t>
      </w:r>
      <w:r w:rsidRPr="0059508E">
        <w:rPr>
          <w:rtl/>
        </w:rPr>
        <w:tab/>
      </w:r>
      <w:r w:rsidRPr="0059508E">
        <w:rPr>
          <w:rtl/>
        </w:rPr>
        <w:t>وبناء على الموارد المالية المتاحة وعلى عدد الطلبات الواردة، تقوم الأمانة بإعداد قائمة من المندوبين الذين سيتم تمويلهم. وتوضَع هذه القائمة وفقاً للفقرتين 1 و2 أعلاه بغرض كفالة التمثيل الجغرافي الكافي للمناطق المؤهّلة، مع إعطاء [الأولوية] الاهتمام [الخاص] لأقل البلدان نمواً والدول الجزرية الصغيرة النامية.</w:t>
      </w:r>
    </w:p>
    <w:p w:rsidRPr="0059508E" w:rsidR="00CD0AA9" w:rsidP="00CD0AA9" w:rsidRDefault="00CD0AA9" w14:paraId="52D72B8C" w14:textId="77777777">
      <w:pPr>
        <w:tabs>
          <w:tab w:val="left" w:pos="1841"/>
        </w:tabs>
        <w:bidi/>
        <w:spacing w:after="120" w:line="400" w:lineRule="exact"/>
        <w:ind w:left="1132"/>
        <w:jc w:val="both"/>
        <w:rPr>
          <w:rtl/>
        </w:rPr>
      </w:pPr>
      <w:r w:rsidRPr="0059508E">
        <w:rPr>
          <w:rtl/>
        </w:rPr>
        <w:lastRenderedPageBreak/>
        <w:t>6 -</w:t>
      </w:r>
      <w:r w:rsidRPr="0059508E">
        <w:rPr>
          <w:rtl/>
        </w:rPr>
        <w:tab/>
      </w:r>
      <w:r w:rsidRPr="0059508E">
        <w:rPr>
          <w:rtl/>
        </w:rPr>
        <w:t>وينبغي، قبل الاجتماع بأربعة أسابيع، أن تبلّغ الأمانة الأطراف التي لن يتم تمويلها وأن تدعوها إلى التماس مصادر بديلة للتمويل.</w:t>
      </w:r>
    </w:p>
    <w:p w:rsidRPr="00CD0AA9" w:rsidR="00EA1C1B" w:rsidP="00CD0AA9" w:rsidRDefault="00CD0AA9" w14:paraId="38D7D60D" w14:textId="56FE21EF">
      <w:pPr>
        <w:pStyle w:val="CH2"/>
        <w:tabs>
          <w:tab w:val="clear" w:pos="851"/>
          <w:tab w:val="clear" w:pos="1247"/>
          <w:tab w:val="clear" w:pos="1814"/>
          <w:tab w:val="left" w:pos="1841"/>
        </w:tabs>
        <w:bidi/>
        <w:spacing w:before="0" w:after="240" w:line="400" w:lineRule="exact"/>
        <w:ind w:left="1134" w:right="0" w:firstLine="0"/>
        <w:jc w:val="both"/>
        <w:rPr>
          <w:bCs/>
          <w:sz w:val="20"/>
          <w:rtl/>
          <w:lang w:eastAsia="zh-TW"/>
        </w:rPr>
      </w:pPr>
      <w:r w:rsidRPr="0059508E">
        <w:rPr>
          <w:rFonts w:hAnsi="Times New Roman" w:eastAsia="Times New Roman"/>
          <w:b w:val="0"/>
          <w:sz w:val="20"/>
          <w:szCs w:val="30"/>
          <w:rtl/>
          <w:lang w:val="en-US"/>
        </w:rPr>
        <w:t>7</w:t>
      </w:r>
      <w:r w:rsidRPr="0059508E">
        <w:rPr>
          <w:rFonts w:hAnsi="Times New Roman" w:eastAsia="Times New Roman"/>
          <w:b w:val="0"/>
          <w:sz w:val="20"/>
          <w:szCs w:val="30"/>
          <w:rtl/>
        </w:rPr>
        <w:t xml:space="preserve"> </w:t>
      </w:r>
      <w:r w:rsidRPr="0059508E">
        <w:rPr>
          <w:rFonts w:hAnsi="Times New Roman" w:eastAsia="Times New Roman"/>
          <w:b w:val="0"/>
          <w:sz w:val="20"/>
          <w:szCs w:val="30"/>
          <w:rtl/>
          <w:lang w:val="en-US"/>
        </w:rPr>
        <w:t>-</w:t>
      </w:r>
      <w:r w:rsidRPr="0059508E">
        <w:rPr>
          <w:rFonts w:hAnsi="Times New Roman" w:eastAsia="Times New Roman"/>
          <w:b w:val="0"/>
          <w:sz w:val="20"/>
          <w:szCs w:val="30"/>
          <w:rtl/>
          <w:lang w:val="en-US"/>
        </w:rPr>
        <w:tab/>
      </w:r>
      <w:r w:rsidRPr="0059508E">
        <w:rPr>
          <w:rFonts w:hAnsi="Times New Roman" w:eastAsia="Times New Roman"/>
          <w:b w:val="0"/>
          <w:sz w:val="20"/>
          <w:szCs w:val="30"/>
          <w:rtl/>
          <w:lang w:val="en-US"/>
        </w:rPr>
        <w:t xml:space="preserve">ويدعى رئيس الأمانة إلى إقامة الاتصال مع المدير التنفيذي لبرنامج الأمم المتحدة للبيئة بغرض كفالة إلغاء تكاليف دعم البرنامج المترتبة على المساهمات في الصندوق </w:t>
      </w:r>
      <w:proofErr w:type="spellStart"/>
      <w:r w:rsidRPr="0059508E">
        <w:rPr>
          <w:rFonts w:hAnsi="Times New Roman" w:eastAsia="Times New Roman"/>
          <w:b w:val="0"/>
          <w:sz w:val="20"/>
          <w:szCs w:val="30"/>
          <w:rtl/>
          <w:lang w:val="en-US"/>
        </w:rPr>
        <w:t>الاستئماني</w:t>
      </w:r>
      <w:proofErr w:type="spellEnd"/>
      <w:r w:rsidRPr="0059508E">
        <w:rPr>
          <w:rFonts w:hAnsi="Times New Roman" w:eastAsia="Times New Roman"/>
          <w:b w:val="0"/>
          <w:sz w:val="20"/>
          <w:szCs w:val="30"/>
          <w:rtl/>
          <w:lang w:val="en-US"/>
        </w:rPr>
        <w:t xml:space="preserve"> </w:t>
      </w:r>
      <w:r>
        <w:rPr>
          <w:rFonts w:hAnsi="Times New Roman" w:eastAsia="Times New Roman"/>
          <w:b w:val="0"/>
          <w:sz w:val="20"/>
          <w:szCs w:val="30"/>
          <w:rtl/>
          <w:lang w:val="en-US"/>
        </w:rPr>
        <w:t xml:space="preserve">الخاص من أجل </w:t>
      </w:r>
      <w:r w:rsidRPr="0059508E">
        <w:rPr>
          <w:rFonts w:hAnsi="Times New Roman" w:eastAsia="Times New Roman"/>
          <w:b w:val="0"/>
          <w:sz w:val="20"/>
          <w:szCs w:val="30"/>
          <w:rtl/>
          <w:lang w:val="en-US"/>
        </w:rPr>
        <w:t>مشاركة الممثلين من البلدان النامية والبلدان التي تمر اقتصاداتها بمرحلة انتقالية، على أساس أن الأموال الإضافية المتجمِّعة ستستخدم لتعزيز تمثيل الأطراف المؤهَّلة.</w:t>
      </w:r>
    </w:p>
    <w:sectPr w:rsidRPr="00CD0AA9" w:rsidR="00EA1C1B" w:rsidSect="00264A81">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lowerLetter"/>
      </w:endnotePr>
      <w:type w:val="continuous"/>
      <w:pgSz w:w="11906" w:h="16838" w:orient="portrait"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6837" w:rsidRDefault="00A16837" w14:paraId="3A9B0D1A" w14:textId="77777777">
      <w:r>
        <w:separator/>
      </w:r>
    </w:p>
  </w:endnote>
  <w:endnote w:type="continuationSeparator" w:id="0">
    <w:p w:rsidR="00A16837" w:rsidRDefault="00A16837" w14:paraId="190EBA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00000003"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A05DD" w:rsidR="00CD0AA9" w:rsidP="00865990" w:rsidRDefault="00CD0AA9" w14:paraId="13F19B2C" w14:textId="77777777">
    <w:pPr>
      <w:pStyle w:val="Footer"/>
      <w:rPr>
        <w:rFonts w:hAnsi="Times New Roman" w:cs="Times New Roman"/>
        <w:sz w:val="18"/>
        <w:szCs w:val="18"/>
      </w:rPr>
    </w:pPr>
    <w:r w:rsidRPr="007A05DD">
      <w:rPr>
        <w:rStyle w:val="PageNumber"/>
        <w:rFonts w:cs="Times New Roman"/>
        <w:szCs w:val="18"/>
      </w:rPr>
      <w:fldChar w:fldCharType="begin"/>
    </w:r>
    <w:r w:rsidRPr="007A05DD">
      <w:rPr>
        <w:rStyle w:val="PageNumber"/>
        <w:rFonts w:cs="Times New Roman"/>
        <w:szCs w:val="18"/>
      </w:rPr>
      <w:instrText xml:space="preserve"> PAGE </w:instrText>
    </w:r>
    <w:r w:rsidRPr="007A05DD">
      <w:rPr>
        <w:rStyle w:val="PageNumber"/>
        <w:rFonts w:cs="Times New Roman"/>
        <w:szCs w:val="18"/>
      </w:rPr>
      <w:fldChar w:fldCharType="separate"/>
    </w:r>
    <w:r>
      <w:rPr>
        <w:rStyle w:val="PageNumber"/>
        <w:rFonts w:cs="Times New Roman"/>
        <w:szCs w:val="18"/>
      </w:rPr>
      <w:t>2</w:t>
    </w:r>
    <w:r w:rsidRPr="007A05DD">
      <w:rPr>
        <w:rStyle w:val="PageNumber"/>
        <w:rFonts w:cs="Times New Roman"/>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A05DD" w:rsidR="00CD0AA9" w:rsidP="00540C5E" w:rsidRDefault="00CD0AA9" w14:paraId="7F04E8C3" w14:textId="77777777">
    <w:pPr>
      <w:pStyle w:val="Footer"/>
      <w:jc w:val="left"/>
      <w:rPr>
        <w:rFonts w:hAnsi="Times New Roman" w:cs="Times New Roman"/>
        <w:sz w:val="18"/>
        <w:szCs w:val="18"/>
        <w:lang w:bidi="ar-EG"/>
      </w:rPr>
    </w:pPr>
    <w:r w:rsidRPr="007A05DD">
      <w:rPr>
        <w:rStyle w:val="PageNumber"/>
        <w:rFonts w:cs="Times New Roman"/>
        <w:szCs w:val="18"/>
      </w:rPr>
      <w:fldChar w:fldCharType="begin"/>
    </w:r>
    <w:r w:rsidRPr="007A05DD">
      <w:rPr>
        <w:rStyle w:val="PageNumber"/>
        <w:rFonts w:cs="Times New Roman"/>
        <w:szCs w:val="18"/>
      </w:rPr>
      <w:instrText xml:space="preserve"> PAGE </w:instrText>
    </w:r>
    <w:r w:rsidRPr="007A05DD">
      <w:rPr>
        <w:rStyle w:val="PageNumber"/>
        <w:rFonts w:cs="Times New Roman"/>
        <w:szCs w:val="18"/>
      </w:rPr>
      <w:fldChar w:fldCharType="separate"/>
    </w:r>
    <w:r>
      <w:rPr>
        <w:rStyle w:val="PageNumber"/>
        <w:rFonts w:cs="Times New Roman"/>
        <w:szCs w:val="18"/>
      </w:rPr>
      <w:t>21</w:t>
    </w:r>
    <w:r w:rsidRPr="007A05DD">
      <w:rPr>
        <w:rStyle w:val="PageNumber"/>
        <w:rFonts w:cs="Times New Roman"/>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173A" w:rsidR="003750B6" w:rsidP="00E0494C" w:rsidRDefault="003750B6" w14:paraId="43364539" w14:textId="77777777">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173A" w:rsidR="003750B6" w:rsidP="00E0494C" w:rsidRDefault="003750B6" w14:paraId="713AE2CB" w14:textId="77777777">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D8B" w:rsidRDefault="00687D8B" w14:paraId="0E69D8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6837" w:rsidP="008A79DC" w:rsidRDefault="00A16837" w14:paraId="4E9601FB" w14:textId="77777777">
      <w:pPr>
        <w:bidi/>
        <w:ind w:left="720"/>
      </w:pPr>
      <w:r>
        <w:separator/>
      </w:r>
    </w:p>
  </w:footnote>
  <w:footnote w:type="continuationSeparator" w:id="0">
    <w:p w:rsidR="00A16837" w:rsidRDefault="00A16837" w14:paraId="2EFA948A" w14:textId="77777777">
      <w:r>
        <w:continuationSeparator/>
      </w:r>
    </w:p>
  </w:footnote>
  <w:footnote w:id="1">
    <w:p w:rsidRPr="00865990" w:rsidR="00CD0AA9" w:rsidP="00CD0AA9" w:rsidRDefault="00CD0AA9" w14:paraId="3B67A878" w14:textId="77777777">
      <w:pPr>
        <w:pStyle w:val="FootnoteText"/>
        <w:bidi/>
        <w:spacing w:after="20" w:line="300" w:lineRule="exact"/>
        <w:ind w:left="1134"/>
        <w:jc w:val="both"/>
        <w:rPr>
          <w:rFonts w:ascii="Traditional Arabic" w:hAnsi="Traditional Arabic"/>
          <w:sz w:val="26"/>
          <w:szCs w:val="26"/>
        </w:rPr>
      </w:pPr>
      <w:r w:rsidRPr="00865990">
        <w:rPr>
          <w:rFonts w:ascii="Traditional Arabic" w:hAnsi="Traditional Arabic"/>
          <w:sz w:val="26"/>
          <w:szCs w:val="26"/>
          <w:rtl/>
        </w:rPr>
        <w:t>(</w:t>
      </w:r>
      <w:r w:rsidRPr="00865990">
        <w:rPr>
          <w:rStyle w:val="FootnoteReference"/>
          <w:rFonts w:ascii="Traditional Arabic" w:hAnsi="Traditional Arabic" w:eastAsiaTheme="minorHAnsi"/>
          <w:sz w:val="26"/>
          <w:szCs w:val="26"/>
          <w:vertAlign w:val="baseline"/>
        </w:rPr>
        <w:footnoteRef/>
      </w:r>
      <w:r w:rsidRPr="00865990">
        <w:rPr>
          <w:rFonts w:ascii="Traditional Arabic" w:hAnsi="Traditional Arabic"/>
          <w:sz w:val="26"/>
          <w:szCs w:val="26"/>
          <w:rtl/>
        </w:rPr>
        <w:t xml:space="preserve">)  </w:t>
      </w:r>
      <w:r w:rsidRPr="00865990">
        <w:rPr>
          <w:rFonts w:hint="eastAsia" w:ascii="Traditional Arabic" w:hAnsi="Traditional Arabic"/>
          <w:sz w:val="26"/>
          <w:szCs w:val="26"/>
          <w:rtl/>
        </w:rPr>
        <w:t>يرتبط</w:t>
      </w:r>
      <w:r w:rsidRPr="00865990">
        <w:rPr>
          <w:rFonts w:ascii="Traditional Arabic" w:hAnsi="Traditional Arabic"/>
          <w:sz w:val="26"/>
          <w:szCs w:val="26"/>
          <w:rtl/>
        </w:rPr>
        <w:t xml:space="preserve"> </w:t>
      </w:r>
      <w:r w:rsidRPr="00865990">
        <w:rPr>
          <w:rFonts w:hint="eastAsia" w:ascii="Traditional Arabic" w:hAnsi="Traditional Arabic"/>
          <w:sz w:val="26"/>
          <w:szCs w:val="26"/>
          <w:rtl/>
        </w:rPr>
        <w:t>بالقرار</w:t>
      </w:r>
      <w:r w:rsidRPr="00865990">
        <w:rPr>
          <w:rFonts w:ascii="Traditional Arabic" w:hAnsi="Traditional Arabic"/>
          <w:sz w:val="26"/>
          <w:szCs w:val="26"/>
          <w:rtl/>
        </w:rPr>
        <w:t xml:space="preserve"> </w:t>
      </w:r>
      <w:r w:rsidRPr="00865990">
        <w:rPr>
          <w:rFonts w:hint="eastAsia" w:ascii="Traditional Arabic" w:hAnsi="Traditional Arabic"/>
          <w:sz w:val="26"/>
          <w:szCs w:val="26"/>
          <w:rtl/>
        </w:rPr>
        <w:t>المتعلق</w:t>
      </w:r>
      <w:r w:rsidRPr="00865990">
        <w:rPr>
          <w:rFonts w:ascii="Traditional Arabic" w:hAnsi="Traditional Arabic"/>
          <w:sz w:val="26"/>
          <w:szCs w:val="26"/>
          <w:rtl/>
        </w:rPr>
        <w:t xml:space="preserve"> </w:t>
      </w:r>
      <w:r w:rsidRPr="00865990">
        <w:rPr>
          <w:rFonts w:hint="eastAsia" w:ascii="Traditional Arabic" w:hAnsi="Traditional Arabic"/>
          <w:sz w:val="26"/>
          <w:szCs w:val="26"/>
          <w:rtl/>
        </w:rPr>
        <w:t>بترتيبات</w:t>
      </w:r>
      <w:r w:rsidRPr="00865990">
        <w:rPr>
          <w:rFonts w:ascii="Traditional Arabic" w:hAnsi="Traditional Arabic"/>
          <w:sz w:val="26"/>
          <w:szCs w:val="26"/>
          <w:rtl/>
        </w:rPr>
        <w:t xml:space="preserve"> </w:t>
      </w:r>
      <w:r w:rsidRPr="00865990">
        <w:rPr>
          <w:rFonts w:hint="eastAsia" w:ascii="Traditional Arabic" w:hAnsi="Traditional Arabic"/>
          <w:sz w:val="26"/>
          <w:szCs w:val="26"/>
          <w:rtl/>
        </w:rPr>
        <w:t>استضافة</w:t>
      </w:r>
      <w:r w:rsidRPr="00865990">
        <w:rPr>
          <w:rFonts w:ascii="Traditional Arabic" w:hAnsi="Traditional Arabic"/>
          <w:sz w:val="26"/>
          <w:szCs w:val="26"/>
          <w:rtl/>
        </w:rPr>
        <w:t xml:space="preserve"> </w:t>
      </w:r>
      <w:r w:rsidRPr="00865990">
        <w:rPr>
          <w:rFonts w:hint="eastAsia" w:ascii="Traditional Arabic" w:hAnsi="Traditional Arabic"/>
          <w:sz w:val="26"/>
          <w:szCs w:val="26"/>
          <w:rtl/>
        </w:rPr>
        <w:t>الأمانة</w:t>
      </w:r>
      <w:r w:rsidRPr="00865990">
        <w:rPr>
          <w:rFonts w:ascii="Traditional Arabic" w:hAnsi="Traditional Arabic"/>
          <w:sz w:val="26"/>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9187A" w:rsidR="00CD0AA9" w:rsidP="00865990" w:rsidRDefault="00CD0AA9" w14:paraId="12B6E587" w14:textId="77777777">
    <w:pPr>
      <w:pBdr>
        <w:bottom w:val="single" w:color="auto" w:sz="4" w:space="1"/>
      </w:pBdr>
      <w:spacing w:before="20" w:after="40"/>
      <w:jc w:val="right"/>
      <w:rPr>
        <w:rStyle w:val="PageNumber"/>
        <w:b/>
        <w:bCs/>
        <w:sz w:val="17"/>
        <w:szCs w:val="17"/>
        <w:lang w:val="fr-FR"/>
      </w:rPr>
    </w:pPr>
    <w:r w:rsidRPr="002F19BE">
      <w:rPr>
        <w:b/>
        <w:sz w:val="17"/>
        <w:szCs w:val="17"/>
      </w:rPr>
      <w:t>UNEP/MC/COP.1/29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16903" w:rsidR="00CD0AA9" w:rsidP="00865990" w:rsidRDefault="00CD0AA9" w14:paraId="6F690837" w14:textId="77777777">
    <w:pPr>
      <w:pBdr>
        <w:bottom w:val="single" w:color="auto" w:sz="4" w:space="1"/>
      </w:pBdr>
      <w:spacing w:before="20" w:after="40"/>
      <w:rPr>
        <w:rStyle w:val="PageNumber"/>
        <w:b/>
        <w:bCs/>
        <w:sz w:val="17"/>
        <w:szCs w:val="17"/>
      </w:rPr>
    </w:pPr>
    <w:r w:rsidRPr="002F19BE">
      <w:rPr>
        <w:b/>
        <w:sz w:val="17"/>
        <w:szCs w:val="17"/>
      </w:rPr>
      <w:t>UNEP/MC/COP.1/29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D2B87" w:rsidR="00CD0AA9" w:rsidP="00865990" w:rsidRDefault="00CD0AA9" w14:paraId="31A9A166" w14:textId="77777777">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D4EBB" w:rsidR="003750B6" w:rsidP="00D113A9" w:rsidRDefault="003750B6" w14:paraId="2C5A5226" w14:textId="2AA0E93C">
    <w:pPr>
      <w:pBdr>
        <w:bottom w:val="single" w:color="auto" w:sz="4" w:space="0"/>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CD0AA9">
      <w:rPr>
        <w:rFonts w:cs="Times New Roman"/>
        <w:b/>
        <w:bCs/>
        <w:sz w:val="17"/>
        <w:szCs w:val="17"/>
      </w:rPr>
      <w:t>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C3A5F" w:rsidR="003750B6" w:rsidP="00D113A9" w:rsidRDefault="003750B6" w14:paraId="5DB9B1FD" w14:textId="4D2B1055">
    <w:pPr>
      <w:pBdr>
        <w:bottom w:val="single" w:color="auto" w:sz="4" w:space="0"/>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CD0AA9">
      <w:rPr>
        <w:rFonts w:cs="Times New Roman"/>
        <w:b/>
        <w:bCs/>
        <w:sz w:val="17"/>
        <w:szCs w:val="17"/>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D8B" w:rsidRDefault="00687D8B" w14:paraId="321A8B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hint="eastAsia" w:cs="Times New Roman"/>
      </w:rPr>
    </w:lvl>
    <w:lvl w:ilvl="1">
      <w:start w:val="1"/>
      <w:numFmt w:val="lowerLetter"/>
      <w:lvlText w:val="(%2)"/>
      <w:lvlJc w:val="left"/>
      <w:pPr>
        <w:tabs>
          <w:tab w:val="num" w:pos="567"/>
        </w:tabs>
        <w:ind w:left="1247" w:firstLine="567"/>
      </w:pPr>
      <w:rPr>
        <w:rFonts w:hint="eastAsia" w:cs="Times New Roman"/>
      </w:rPr>
    </w:lvl>
    <w:lvl w:ilvl="2">
      <w:start w:val="1"/>
      <w:numFmt w:val="lowerRoman"/>
      <w:lvlText w:val="(%3)"/>
      <w:lvlJc w:val="left"/>
      <w:pPr>
        <w:tabs>
          <w:tab w:val="num" w:pos="567"/>
        </w:tabs>
        <w:ind w:left="2948" w:hanging="567"/>
      </w:pPr>
      <w:rPr>
        <w:rFonts w:hint="eastAsia" w:cs="Times New Roman"/>
      </w:rPr>
    </w:lvl>
    <w:lvl w:ilvl="3">
      <w:start w:val="1"/>
      <w:numFmt w:val="lowerLetter"/>
      <w:lvlText w:val="%4."/>
      <w:lvlJc w:val="left"/>
      <w:pPr>
        <w:tabs>
          <w:tab w:val="num" w:pos="567"/>
        </w:tabs>
        <w:ind w:left="3515" w:hanging="567"/>
      </w:pPr>
      <w:rPr>
        <w:rFonts w:hint="eastAsia" w:cs="Times New Roman"/>
      </w:rPr>
    </w:lvl>
    <w:lvl w:ilvl="4">
      <w:start w:val="1"/>
      <w:numFmt w:val="lowerLetter"/>
      <w:lvlText w:val="%5."/>
      <w:lvlJc w:val="left"/>
      <w:pPr>
        <w:tabs>
          <w:tab w:val="num" w:pos="6548"/>
        </w:tabs>
        <w:ind w:left="6548" w:hanging="360"/>
      </w:pPr>
      <w:rPr>
        <w:rFonts w:hint="eastAsia" w:cs="Times New Roman"/>
      </w:rPr>
    </w:lvl>
    <w:lvl w:ilvl="5">
      <w:start w:val="1"/>
      <w:numFmt w:val="lowerRoman"/>
      <w:lvlText w:val="%6."/>
      <w:lvlJc w:val="right"/>
      <w:pPr>
        <w:tabs>
          <w:tab w:val="num" w:pos="7268"/>
        </w:tabs>
        <w:ind w:left="7268" w:hanging="180"/>
      </w:pPr>
      <w:rPr>
        <w:rFonts w:hint="eastAsia" w:cs="Times New Roman"/>
      </w:rPr>
    </w:lvl>
    <w:lvl w:ilvl="6">
      <w:start w:val="1"/>
      <w:numFmt w:val="decimal"/>
      <w:lvlText w:val="%7."/>
      <w:lvlJc w:val="left"/>
      <w:pPr>
        <w:tabs>
          <w:tab w:val="num" w:pos="7988"/>
        </w:tabs>
        <w:ind w:left="7988" w:hanging="360"/>
      </w:pPr>
      <w:rPr>
        <w:rFonts w:hint="eastAsia" w:cs="Times New Roman"/>
      </w:rPr>
    </w:lvl>
    <w:lvl w:ilvl="7">
      <w:start w:val="1"/>
      <w:numFmt w:val="lowerLetter"/>
      <w:lvlText w:val="%8."/>
      <w:lvlJc w:val="left"/>
      <w:pPr>
        <w:tabs>
          <w:tab w:val="num" w:pos="8708"/>
        </w:tabs>
        <w:ind w:left="8708" w:hanging="360"/>
      </w:pPr>
      <w:rPr>
        <w:rFonts w:hint="eastAsia" w:cs="Times New Roman"/>
      </w:rPr>
    </w:lvl>
    <w:lvl w:ilvl="8">
      <w:start w:val="1"/>
      <w:numFmt w:val="lowerRoman"/>
      <w:lvlText w:val="%9."/>
      <w:lvlJc w:val="right"/>
      <w:pPr>
        <w:tabs>
          <w:tab w:val="num" w:pos="9428"/>
        </w:tabs>
        <w:ind w:left="9428" w:hanging="180"/>
      </w:pPr>
      <w:rPr>
        <w:rFonts w:hint="eastAsia" w:cs="Times New Roman"/>
      </w:rPr>
    </w:lvl>
  </w:abstractNum>
  <w:abstractNum w:abstractNumId="1" w15:restartNumberingAfterBreak="0">
    <w:nsid w:val="00685122"/>
    <w:multiLevelType w:val="multilevel"/>
    <w:tmpl w:val="7ED4314C"/>
    <w:lvl w:ilvl="0" w:tplc="EC5E607C">
      <w:start w:val="1"/>
      <w:numFmt w:val="decimal"/>
      <w:lvlText w:val="%1-"/>
      <w:lvlJc w:val="left"/>
      <w:pPr>
        <w:ind w:left="1852" w:hanging="360"/>
      </w:pPr>
      <w:rPr>
        <w:rFonts w:hint="cs" w:cs="Traditional Arabic"/>
        <w:bCs w:val="0"/>
        <w:iCs w:val="0"/>
        <w:szCs w:val="3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 w15:restartNumberingAfterBreak="0">
    <w:nsid w:val="056A6D5F"/>
    <w:multiLevelType w:val="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3" w15:restartNumberingAfterBreak="0">
    <w:nsid w:val="05D1585F"/>
    <w:multiLevelType w:val="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834BD"/>
    <w:multiLevelType w:val="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E0333B2"/>
    <w:multiLevelType w:val="hybridMultilevel"/>
    <w:tmpl w:val="DC22BE9E"/>
    <w:lvl w:ilvl="0" w:tplc="3C9A2F70">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0A354B"/>
    <w:multiLevelType w:val="hybridMultilevel"/>
    <w:tmpl w:val="DBBEA72C"/>
    <w:lvl w:ilvl="0" w:tplc="C2E0C56E">
      <w:start w:val="1"/>
      <w:numFmt w:val="decimal"/>
      <w:lvlText w:val="%1-"/>
      <w:lvlJc w:val="left"/>
      <w:pPr>
        <w:ind w:left="1080" w:hanging="360"/>
      </w:pPr>
      <w:rPr>
        <w:rFonts w:hint="default" w:ascii="Traditional Arabic" w:hAnsi="Traditional Arabic" w:cs="Traditional Arabic"/>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E2E328F"/>
    <w:multiLevelType w:val="hybrid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0" w15:restartNumberingAfterBreak="0">
    <w:nsid w:val="15C017C7"/>
    <w:multiLevelType w:val="hybridMultilevel"/>
    <w:tmpl w:val="3698CEC8"/>
    <w:lvl w:ilvl="0" w:tplc="537E6234">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171113A7"/>
    <w:multiLevelType w:val="hybrid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17210612"/>
    <w:multiLevelType w:val="hybridMultilevel"/>
    <w:tmpl w:val="EB3E70C0"/>
    <w:lvl w:ilvl="0" w:tplc="F7AC106E">
      <w:start w:val="1"/>
      <w:numFmt w:val="decimal"/>
      <w:lvlText w:val="%1-"/>
      <w:lvlJc w:val="left"/>
      <w:pPr>
        <w:ind w:left="1620" w:hanging="360"/>
      </w:pPr>
      <w:rPr>
        <w:rFonts w:hint="default" w:ascii="Traditional Arabic" w:hAnsi="Traditional Arabic" w:cs="Traditional Arabic"/>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3" w15:restartNumberingAfterBreak="0">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5" w15:restartNumberingAfterBreak="0">
    <w:nsid w:val="22CF18C1"/>
    <w:multiLevelType w:val="hybridMultilevel"/>
    <w:tmpl w:val="E488EEE4"/>
    <w:lvl w:ilvl="0" w:tplc="641AB29A">
      <w:start w:val="1"/>
      <w:numFmt w:val="bullet"/>
      <w:lvlText w:val=""/>
      <w:lvlJc w:val="left"/>
      <w:pPr>
        <w:ind w:left="3127"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3847" w:hanging="360"/>
      </w:pPr>
      <w:rPr>
        <w:rFonts w:hint="default" w:ascii="Courier New" w:hAnsi="Courier New" w:cs="Courier New"/>
      </w:rPr>
    </w:lvl>
    <w:lvl w:ilvl="2" w:tplc="04090005" w:tentative="1">
      <w:start w:val="1"/>
      <w:numFmt w:val="bullet"/>
      <w:lvlText w:val=""/>
      <w:lvlJc w:val="left"/>
      <w:pPr>
        <w:ind w:left="4567" w:hanging="360"/>
      </w:pPr>
      <w:rPr>
        <w:rFonts w:hint="default" w:ascii="Wingdings" w:hAnsi="Wingdings"/>
      </w:rPr>
    </w:lvl>
    <w:lvl w:ilvl="3" w:tplc="04090001" w:tentative="1">
      <w:start w:val="1"/>
      <w:numFmt w:val="bullet"/>
      <w:lvlText w:val=""/>
      <w:lvlJc w:val="left"/>
      <w:pPr>
        <w:ind w:left="5287" w:hanging="360"/>
      </w:pPr>
      <w:rPr>
        <w:rFonts w:hint="default" w:ascii="Symbol" w:hAnsi="Symbol"/>
      </w:rPr>
    </w:lvl>
    <w:lvl w:ilvl="4" w:tplc="04090003" w:tentative="1">
      <w:start w:val="1"/>
      <w:numFmt w:val="bullet"/>
      <w:lvlText w:val="o"/>
      <w:lvlJc w:val="left"/>
      <w:pPr>
        <w:ind w:left="6007" w:hanging="360"/>
      </w:pPr>
      <w:rPr>
        <w:rFonts w:hint="default" w:ascii="Courier New" w:hAnsi="Courier New" w:cs="Courier New"/>
      </w:rPr>
    </w:lvl>
    <w:lvl w:ilvl="5" w:tplc="04090005" w:tentative="1">
      <w:start w:val="1"/>
      <w:numFmt w:val="bullet"/>
      <w:lvlText w:val=""/>
      <w:lvlJc w:val="left"/>
      <w:pPr>
        <w:ind w:left="6727" w:hanging="360"/>
      </w:pPr>
      <w:rPr>
        <w:rFonts w:hint="default" w:ascii="Wingdings" w:hAnsi="Wingdings"/>
      </w:rPr>
    </w:lvl>
    <w:lvl w:ilvl="6" w:tplc="04090001" w:tentative="1">
      <w:start w:val="1"/>
      <w:numFmt w:val="bullet"/>
      <w:lvlText w:val=""/>
      <w:lvlJc w:val="left"/>
      <w:pPr>
        <w:ind w:left="7447" w:hanging="360"/>
      </w:pPr>
      <w:rPr>
        <w:rFonts w:hint="default" w:ascii="Symbol" w:hAnsi="Symbol"/>
      </w:rPr>
    </w:lvl>
    <w:lvl w:ilvl="7" w:tplc="04090003" w:tentative="1">
      <w:start w:val="1"/>
      <w:numFmt w:val="bullet"/>
      <w:lvlText w:val="o"/>
      <w:lvlJc w:val="left"/>
      <w:pPr>
        <w:ind w:left="8167" w:hanging="360"/>
      </w:pPr>
      <w:rPr>
        <w:rFonts w:hint="default" w:ascii="Courier New" w:hAnsi="Courier New" w:cs="Courier New"/>
      </w:rPr>
    </w:lvl>
    <w:lvl w:ilvl="8" w:tplc="04090005" w:tentative="1">
      <w:start w:val="1"/>
      <w:numFmt w:val="bullet"/>
      <w:lvlText w:val=""/>
      <w:lvlJc w:val="left"/>
      <w:pPr>
        <w:ind w:left="8887" w:hanging="360"/>
      </w:pPr>
      <w:rPr>
        <w:rFonts w:hint="default" w:ascii="Wingdings" w:hAnsi="Wingdings"/>
      </w:rPr>
    </w:lvl>
  </w:abstractNum>
  <w:abstractNum w:abstractNumId="1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BDB2389"/>
    <w:multiLevelType w:val="hybridMultilevel"/>
    <w:tmpl w:val="F61E6154"/>
    <w:lvl w:ilvl="0" w:tplc="DA4C2734">
      <w:start w:val="1"/>
      <w:numFmt w:val="decimal"/>
      <w:lvlText w:val="%1-"/>
      <w:lvlJc w:val="left"/>
      <w:pPr>
        <w:ind w:left="1854" w:hanging="360"/>
      </w:pPr>
      <w:rPr>
        <w:rFonts w:hint="default"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167A"/>
    <w:multiLevelType w:val="hybridMultilevel"/>
    <w:tmpl w:val="23B05FA6"/>
    <w:lvl w:ilvl="0" w:tplc="08090001">
      <w:start w:val="1"/>
      <w:numFmt w:val="bullet"/>
      <w:lvlText w:val=""/>
      <w:lvlJc w:val="left"/>
      <w:pPr>
        <w:ind w:left="754" w:hanging="360"/>
      </w:pPr>
      <w:rPr>
        <w:rFonts w:hint="default" w:ascii="Symbol" w:hAnsi="Symbol"/>
        <w:sz w:val="28"/>
        <w:szCs w:val="28"/>
      </w:rPr>
    </w:lvl>
    <w:lvl w:ilvl="1" w:tplc="04090003" w:tentative="1">
      <w:start w:val="1"/>
      <w:numFmt w:val="bullet"/>
      <w:lvlText w:val="o"/>
      <w:lvlJc w:val="left"/>
      <w:pPr>
        <w:ind w:left="1474" w:hanging="360"/>
      </w:pPr>
      <w:rPr>
        <w:rFonts w:hint="default" w:ascii="Courier New" w:hAnsi="Courier New" w:cs="Courier New"/>
      </w:rPr>
    </w:lvl>
    <w:lvl w:ilvl="2" w:tplc="04090005" w:tentative="1">
      <w:start w:val="1"/>
      <w:numFmt w:val="bullet"/>
      <w:lvlText w:val=""/>
      <w:lvlJc w:val="left"/>
      <w:pPr>
        <w:ind w:left="2194" w:hanging="360"/>
      </w:pPr>
      <w:rPr>
        <w:rFonts w:hint="default" w:ascii="Wingdings" w:hAnsi="Wingdings"/>
      </w:rPr>
    </w:lvl>
    <w:lvl w:ilvl="3" w:tplc="04090001" w:tentative="1">
      <w:start w:val="1"/>
      <w:numFmt w:val="bullet"/>
      <w:lvlText w:val=""/>
      <w:lvlJc w:val="left"/>
      <w:pPr>
        <w:ind w:left="2914" w:hanging="360"/>
      </w:pPr>
      <w:rPr>
        <w:rFonts w:hint="default" w:ascii="Symbol" w:hAnsi="Symbol"/>
      </w:rPr>
    </w:lvl>
    <w:lvl w:ilvl="4" w:tplc="04090003" w:tentative="1">
      <w:start w:val="1"/>
      <w:numFmt w:val="bullet"/>
      <w:lvlText w:val="o"/>
      <w:lvlJc w:val="left"/>
      <w:pPr>
        <w:ind w:left="3634" w:hanging="360"/>
      </w:pPr>
      <w:rPr>
        <w:rFonts w:hint="default" w:ascii="Courier New" w:hAnsi="Courier New" w:cs="Courier New"/>
      </w:rPr>
    </w:lvl>
    <w:lvl w:ilvl="5" w:tplc="04090005" w:tentative="1">
      <w:start w:val="1"/>
      <w:numFmt w:val="bullet"/>
      <w:lvlText w:val=""/>
      <w:lvlJc w:val="left"/>
      <w:pPr>
        <w:ind w:left="4354" w:hanging="360"/>
      </w:pPr>
      <w:rPr>
        <w:rFonts w:hint="default" w:ascii="Wingdings" w:hAnsi="Wingdings"/>
      </w:rPr>
    </w:lvl>
    <w:lvl w:ilvl="6" w:tplc="04090001" w:tentative="1">
      <w:start w:val="1"/>
      <w:numFmt w:val="bullet"/>
      <w:lvlText w:val=""/>
      <w:lvlJc w:val="left"/>
      <w:pPr>
        <w:ind w:left="5074" w:hanging="360"/>
      </w:pPr>
      <w:rPr>
        <w:rFonts w:hint="default" w:ascii="Symbol" w:hAnsi="Symbol"/>
      </w:rPr>
    </w:lvl>
    <w:lvl w:ilvl="7" w:tplc="04090003" w:tentative="1">
      <w:start w:val="1"/>
      <w:numFmt w:val="bullet"/>
      <w:lvlText w:val="o"/>
      <w:lvlJc w:val="left"/>
      <w:pPr>
        <w:ind w:left="5794" w:hanging="360"/>
      </w:pPr>
      <w:rPr>
        <w:rFonts w:hint="default" w:ascii="Courier New" w:hAnsi="Courier New" w:cs="Courier New"/>
      </w:rPr>
    </w:lvl>
    <w:lvl w:ilvl="8" w:tplc="04090005" w:tentative="1">
      <w:start w:val="1"/>
      <w:numFmt w:val="bullet"/>
      <w:lvlText w:val=""/>
      <w:lvlJc w:val="left"/>
      <w:pPr>
        <w:ind w:left="6514" w:hanging="360"/>
      </w:pPr>
      <w:rPr>
        <w:rFonts w:hint="default" w:ascii="Wingdings" w:hAnsi="Wingdings"/>
      </w:rPr>
    </w:lvl>
  </w:abstractNum>
  <w:abstractNum w:abstractNumId="20"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3B458D"/>
    <w:multiLevelType w:val="hybridMultilevel"/>
    <w:tmpl w:val="E8C200F0"/>
    <w:lvl w:ilvl="0" w:tplc="24ECF08A">
      <w:start w:val="80"/>
      <w:numFmt w:val="decimal"/>
      <w:lvlText w:val="%1-"/>
      <w:lvlJc w:val="left"/>
      <w:pPr>
        <w:ind w:left="16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528"/>
    <w:multiLevelType w:val="hybridMultilevel"/>
    <w:tmpl w:val="D4F4381C"/>
    <w:lvl w:ilvl="0" w:tplc="DE02746E">
      <w:start w:val="1"/>
      <w:numFmt w:val="decimal"/>
      <w:lvlText w:val="%1-"/>
      <w:lvlJc w:val="left"/>
      <w:pPr>
        <w:ind w:left="1352"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D1D0D"/>
    <w:multiLevelType w:val="hybridMultilevel"/>
    <w:tmpl w:val="DEDE8ECA"/>
    <w:lvl w:ilvl="0" w:tplc="812CFE14">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405E23E9"/>
    <w:multiLevelType w:val="hybridMultilevel"/>
    <w:tmpl w:val="18C0F5C4"/>
    <w:lvl w:ilvl="0" w:tplc="641AB29A">
      <w:start w:val="1"/>
      <w:numFmt w:val="bullet"/>
      <w:lvlText w:val=""/>
      <w:lvlJc w:val="left"/>
      <w:pPr>
        <w:ind w:left="256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1" w:hanging="360"/>
      </w:pPr>
      <w:rPr>
        <w:rFonts w:hint="default" w:ascii="Courier New" w:hAnsi="Courier New" w:cs="Courier New"/>
      </w:rPr>
    </w:lvl>
    <w:lvl w:ilvl="2" w:tplc="08090005" w:tentative="1">
      <w:start w:val="1"/>
      <w:numFmt w:val="bullet"/>
      <w:lvlText w:val=""/>
      <w:lvlJc w:val="left"/>
      <w:pPr>
        <w:ind w:left="4001" w:hanging="360"/>
      </w:pPr>
      <w:rPr>
        <w:rFonts w:hint="default" w:ascii="Wingdings" w:hAnsi="Wingdings"/>
      </w:rPr>
    </w:lvl>
    <w:lvl w:ilvl="3" w:tplc="08090001" w:tentative="1">
      <w:start w:val="1"/>
      <w:numFmt w:val="bullet"/>
      <w:lvlText w:val=""/>
      <w:lvlJc w:val="left"/>
      <w:pPr>
        <w:ind w:left="4721" w:hanging="360"/>
      </w:pPr>
      <w:rPr>
        <w:rFonts w:hint="default" w:ascii="Symbol" w:hAnsi="Symbol"/>
      </w:rPr>
    </w:lvl>
    <w:lvl w:ilvl="4" w:tplc="08090003" w:tentative="1">
      <w:start w:val="1"/>
      <w:numFmt w:val="bullet"/>
      <w:lvlText w:val="o"/>
      <w:lvlJc w:val="left"/>
      <w:pPr>
        <w:ind w:left="5441" w:hanging="360"/>
      </w:pPr>
      <w:rPr>
        <w:rFonts w:hint="default" w:ascii="Courier New" w:hAnsi="Courier New" w:cs="Courier New"/>
      </w:rPr>
    </w:lvl>
    <w:lvl w:ilvl="5" w:tplc="08090005" w:tentative="1">
      <w:start w:val="1"/>
      <w:numFmt w:val="bullet"/>
      <w:lvlText w:val=""/>
      <w:lvlJc w:val="left"/>
      <w:pPr>
        <w:ind w:left="6161" w:hanging="360"/>
      </w:pPr>
      <w:rPr>
        <w:rFonts w:hint="default" w:ascii="Wingdings" w:hAnsi="Wingdings"/>
      </w:rPr>
    </w:lvl>
    <w:lvl w:ilvl="6" w:tplc="08090001" w:tentative="1">
      <w:start w:val="1"/>
      <w:numFmt w:val="bullet"/>
      <w:lvlText w:val=""/>
      <w:lvlJc w:val="left"/>
      <w:pPr>
        <w:ind w:left="6881" w:hanging="360"/>
      </w:pPr>
      <w:rPr>
        <w:rFonts w:hint="default" w:ascii="Symbol" w:hAnsi="Symbol"/>
      </w:rPr>
    </w:lvl>
    <w:lvl w:ilvl="7" w:tplc="08090003" w:tentative="1">
      <w:start w:val="1"/>
      <w:numFmt w:val="bullet"/>
      <w:lvlText w:val="o"/>
      <w:lvlJc w:val="left"/>
      <w:pPr>
        <w:ind w:left="7601" w:hanging="360"/>
      </w:pPr>
      <w:rPr>
        <w:rFonts w:hint="default" w:ascii="Courier New" w:hAnsi="Courier New" w:cs="Courier New"/>
      </w:rPr>
    </w:lvl>
    <w:lvl w:ilvl="8" w:tplc="08090005" w:tentative="1">
      <w:start w:val="1"/>
      <w:numFmt w:val="bullet"/>
      <w:lvlText w:val=""/>
      <w:lvlJc w:val="left"/>
      <w:pPr>
        <w:ind w:left="8321" w:hanging="360"/>
      </w:pPr>
      <w:rPr>
        <w:rFonts w:hint="default" w:ascii="Wingdings" w:hAnsi="Wingdings"/>
      </w:rPr>
    </w:lvl>
  </w:abstractNum>
  <w:abstractNum w:abstractNumId="28" w15:restartNumberingAfterBreak="0">
    <w:nsid w:val="40FD6779"/>
    <w:multiLevelType w:val="hybridMultilevel"/>
    <w:tmpl w:val="C71AB036"/>
    <w:lvl w:ilvl="0" w:tplc="7E90030C">
      <w:start w:val="1"/>
      <w:numFmt w:val="arabicAlpha"/>
      <w:lvlText w:val="%1-"/>
      <w:lvlJc w:val="left"/>
      <w:pPr>
        <w:ind w:left="1486" w:hanging="360"/>
      </w:pPr>
      <w:rPr>
        <w:rFonts w:hint="default" w:ascii="Traditional Arabic" w:hAnsi="Traditional Arabic" w:cs="Traditional Arabic"/>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9"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1" w15:restartNumberingAfterBreak="0">
    <w:nsid w:val="44621E93"/>
    <w:multiLevelType w:val="hybridMultilevel"/>
    <w:tmpl w:val="E946E09C"/>
    <w:lvl w:ilvl="0" w:tplc="6724289E">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2" w15:restartNumberingAfterBreak="0">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497013F9"/>
    <w:multiLevelType w:val="hybridMultilevel"/>
    <w:tmpl w:val="218E8D60"/>
    <w:lvl w:ilvl="0" w:tplc="F0AE03D4">
      <w:start w:val="4"/>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4" w15:restartNumberingAfterBreak="0">
    <w:nsid w:val="4AC9403E"/>
    <w:multiLevelType w:val="hybridMultilevel"/>
    <w:tmpl w:val="944EF01C"/>
    <w:lvl w:ilvl="0" w:tplc="1B42FB7C">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4CE115FF"/>
    <w:multiLevelType w:val="hybridMultilevel"/>
    <w:tmpl w:val="64DA8C2C"/>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36" w15:restartNumberingAfterBreak="0">
    <w:nsid w:val="4F2B5EAB"/>
    <w:multiLevelType w:val="hybridMultilevel"/>
    <w:tmpl w:val="B1D23D46"/>
    <w:lvl w:ilvl="0" w:tplc="4A16C60E">
      <w:start w:val="4"/>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15:restartNumberingAfterBreak="0">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A9D"/>
    <w:multiLevelType w:val="hybrid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9" w15:restartNumberingAfterBreak="0">
    <w:nsid w:val="5E59389A"/>
    <w:multiLevelType w:val="hybridMultilevel"/>
    <w:tmpl w:val="5B5C3584"/>
    <w:lvl w:ilvl="0" w:tplc="641AB29A">
      <w:start w:val="1"/>
      <w:numFmt w:val="bullet"/>
      <w:lvlText w:val=""/>
      <w:lvlJc w:val="left"/>
      <w:pPr>
        <w:ind w:left="29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41" w:hanging="360"/>
      </w:pPr>
      <w:rPr>
        <w:rFonts w:hint="default" w:ascii="Courier New" w:hAnsi="Courier New" w:cs="Courier New"/>
      </w:rPr>
    </w:lvl>
    <w:lvl w:ilvl="2" w:tplc="08090005" w:tentative="1">
      <w:start w:val="1"/>
      <w:numFmt w:val="bullet"/>
      <w:lvlText w:val=""/>
      <w:lvlJc w:val="left"/>
      <w:pPr>
        <w:ind w:left="4361" w:hanging="360"/>
      </w:pPr>
      <w:rPr>
        <w:rFonts w:hint="default" w:ascii="Wingdings" w:hAnsi="Wingdings"/>
      </w:rPr>
    </w:lvl>
    <w:lvl w:ilvl="3" w:tplc="08090001" w:tentative="1">
      <w:start w:val="1"/>
      <w:numFmt w:val="bullet"/>
      <w:lvlText w:val=""/>
      <w:lvlJc w:val="left"/>
      <w:pPr>
        <w:ind w:left="5081" w:hanging="360"/>
      </w:pPr>
      <w:rPr>
        <w:rFonts w:hint="default" w:ascii="Symbol" w:hAnsi="Symbol"/>
      </w:rPr>
    </w:lvl>
    <w:lvl w:ilvl="4" w:tplc="08090003" w:tentative="1">
      <w:start w:val="1"/>
      <w:numFmt w:val="bullet"/>
      <w:lvlText w:val="o"/>
      <w:lvlJc w:val="left"/>
      <w:pPr>
        <w:ind w:left="5801" w:hanging="360"/>
      </w:pPr>
      <w:rPr>
        <w:rFonts w:hint="default" w:ascii="Courier New" w:hAnsi="Courier New" w:cs="Courier New"/>
      </w:rPr>
    </w:lvl>
    <w:lvl w:ilvl="5" w:tplc="08090005" w:tentative="1">
      <w:start w:val="1"/>
      <w:numFmt w:val="bullet"/>
      <w:lvlText w:val=""/>
      <w:lvlJc w:val="left"/>
      <w:pPr>
        <w:ind w:left="6521" w:hanging="360"/>
      </w:pPr>
      <w:rPr>
        <w:rFonts w:hint="default" w:ascii="Wingdings" w:hAnsi="Wingdings"/>
      </w:rPr>
    </w:lvl>
    <w:lvl w:ilvl="6" w:tplc="08090001" w:tentative="1">
      <w:start w:val="1"/>
      <w:numFmt w:val="bullet"/>
      <w:lvlText w:val=""/>
      <w:lvlJc w:val="left"/>
      <w:pPr>
        <w:ind w:left="7241" w:hanging="360"/>
      </w:pPr>
      <w:rPr>
        <w:rFonts w:hint="default" w:ascii="Symbol" w:hAnsi="Symbol"/>
      </w:rPr>
    </w:lvl>
    <w:lvl w:ilvl="7" w:tplc="08090003" w:tentative="1">
      <w:start w:val="1"/>
      <w:numFmt w:val="bullet"/>
      <w:lvlText w:val="o"/>
      <w:lvlJc w:val="left"/>
      <w:pPr>
        <w:ind w:left="7961" w:hanging="360"/>
      </w:pPr>
      <w:rPr>
        <w:rFonts w:hint="default" w:ascii="Courier New" w:hAnsi="Courier New" w:cs="Courier New"/>
      </w:rPr>
    </w:lvl>
    <w:lvl w:ilvl="8" w:tplc="08090005" w:tentative="1">
      <w:start w:val="1"/>
      <w:numFmt w:val="bullet"/>
      <w:lvlText w:val=""/>
      <w:lvlJc w:val="left"/>
      <w:pPr>
        <w:ind w:left="8681" w:hanging="360"/>
      </w:pPr>
      <w:rPr>
        <w:rFonts w:hint="default" w:ascii="Wingdings" w:hAnsi="Wingdings"/>
      </w:rPr>
    </w:lvl>
  </w:abstractNum>
  <w:abstractNum w:abstractNumId="40" w15:restartNumberingAfterBreak="0">
    <w:nsid w:val="5E7338C1"/>
    <w:multiLevelType w:val="hybridMultilevel"/>
    <w:tmpl w:val="FF644ACE"/>
    <w:lvl w:ilvl="0" w:tplc="D9341756">
      <w:start w:val="5"/>
      <w:numFmt w:val="decimal"/>
      <w:lvlText w:val="%1-"/>
      <w:lvlJc w:val="left"/>
      <w:pPr>
        <w:ind w:left="1260" w:firstLine="0"/>
      </w:pPr>
      <w:rPr>
        <w:rFonts w:hint="default" w:hAnsi="Arial Unicode MS"/>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62BD3D06"/>
    <w:multiLevelType w:val="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3431"/>
    <w:multiLevelType w:val="hybridMultilevel"/>
    <w:tmpl w:val="48241D10"/>
    <w:numStyleLink w:val="Normallist"/>
  </w:abstractNum>
  <w:abstractNum w:abstractNumId="44" w15:restartNumberingAfterBreak="0">
    <w:nsid w:val="6A9C27D5"/>
    <w:multiLevelType w:val="hybridMultilevel"/>
    <w:tmpl w:val="81401674"/>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45" w15:restartNumberingAfterBreak="0">
    <w:nsid w:val="6F50137A"/>
    <w:multiLevelType w:val="hybridMultilevel"/>
    <w:tmpl w:val="D2BE59B0"/>
    <w:lvl w:ilvl="0" w:tplc="94481C52">
      <w:start w:val="3"/>
      <w:numFmt w:val="decimal"/>
      <w:lvlText w:val="%1-"/>
      <w:lvlJc w:val="left"/>
      <w:pPr>
        <w:ind w:left="1080" w:hanging="360"/>
      </w:pPr>
      <w:rPr>
        <w:rFonts w:hint="default" w:ascii="Traditional Arabic" w:hAnsi="Traditional Arabic" w:cs="Traditional Arabic"/>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92A82"/>
    <w:multiLevelType w:val="hybridMultilevel"/>
    <w:tmpl w:val="7DB61310"/>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4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15:restartNumberingAfterBreak="0">
    <w:nsid w:val="76D77ADE"/>
    <w:multiLevelType w:val="hybridMultilevel"/>
    <w:tmpl w:val="53763924"/>
    <w:lvl w:ilvl="0" w:tplc="90E876A2">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7D15FD0"/>
    <w:multiLevelType w:val="hybridMultilevel"/>
    <w:tmpl w:val="648CA626"/>
    <w:lvl w:ilvl="0" w:tplc="9592733C">
      <w:start w:val="5"/>
      <w:numFmt w:val="bullet"/>
      <w:lvlText w:val=""/>
      <w:lvlJc w:val="left"/>
      <w:pPr>
        <w:ind w:left="2201" w:hanging="360"/>
      </w:pPr>
      <w:rPr>
        <w:rFonts w:hint="default" w:ascii="Wingdings" w:hAnsi="Wingdings" w:eastAsia="Times New Roman" w:cs="Traditional Arabic"/>
        <w:color w:val="000000"/>
        <w:sz w:val="24"/>
      </w:rPr>
    </w:lvl>
    <w:lvl w:ilvl="1" w:tplc="08090003" w:tentative="1">
      <w:start w:val="1"/>
      <w:numFmt w:val="bullet"/>
      <w:lvlText w:val="o"/>
      <w:lvlJc w:val="left"/>
      <w:pPr>
        <w:ind w:left="2921" w:hanging="360"/>
      </w:pPr>
      <w:rPr>
        <w:rFonts w:hint="default" w:ascii="Courier New" w:hAnsi="Courier New" w:cs="Courier New"/>
      </w:rPr>
    </w:lvl>
    <w:lvl w:ilvl="2" w:tplc="08090005" w:tentative="1">
      <w:start w:val="1"/>
      <w:numFmt w:val="bullet"/>
      <w:lvlText w:val=""/>
      <w:lvlJc w:val="left"/>
      <w:pPr>
        <w:ind w:left="3641" w:hanging="360"/>
      </w:pPr>
      <w:rPr>
        <w:rFonts w:hint="default" w:ascii="Wingdings" w:hAnsi="Wingdings"/>
      </w:rPr>
    </w:lvl>
    <w:lvl w:ilvl="3" w:tplc="08090001" w:tentative="1">
      <w:start w:val="1"/>
      <w:numFmt w:val="bullet"/>
      <w:lvlText w:val=""/>
      <w:lvlJc w:val="left"/>
      <w:pPr>
        <w:ind w:left="4361" w:hanging="360"/>
      </w:pPr>
      <w:rPr>
        <w:rFonts w:hint="default" w:ascii="Symbol" w:hAnsi="Symbol"/>
      </w:rPr>
    </w:lvl>
    <w:lvl w:ilvl="4" w:tplc="08090003" w:tentative="1">
      <w:start w:val="1"/>
      <w:numFmt w:val="bullet"/>
      <w:lvlText w:val="o"/>
      <w:lvlJc w:val="left"/>
      <w:pPr>
        <w:ind w:left="5081" w:hanging="360"/>
      </w:pPr>
      <w:rPr>
        <w:rFonts w:hint="default" w:ascii="Courier New" w:hAnsi="Courier New" w:cs="Courier New"/>
      </w:rPr>
    </w:lvl>
    <w:lvl w:ilvl="5" w:tplc="08090005" w:tentative="1">
      <w:start w:val="1"/>
      <w:numFmt w:val="bullet"/>
      <w:lvlText w:val=""/>
      <w:lvlJc w:val="left"/>
      <w:pPr>
        <w:ind w:left="5801" w:hanging="360"/>
      </w:pPr>
      <w:rPr>
        <w:rFonts w:hint="default" w:ascii="Wingdings" w:hAnsi="Wingdings"/>
      </w:rPr>
    </w:lvl>
    <w:lvl w:ilvl="6" w:tplc="08090001" w:tentative="1">
      <w:start w:val="1"/>
      <w:numFmt w:val="bullet"/>
      <w:lvlText w:val=""/>
      <w:lvlJc w:val="left"/>
      <w:pPr>
        <w:ind w:left="6521" w:hanging="360"/>
      </w:pPr>
      <w:rPr>
        <w:rFonts w:hint="default" w:ascii="Symbol" w:hAnsi="Symbol"/>
      </w:rPr>
    </w:lvl>
    <w:lvl w:ilvl="7" w:tplc="08090003" w:tentative="1">
      <w:start w:val="1"/>
      <w:numFmt w:val="bullet"/>
      <w:lvlText w:val="o"/>
      <w:lvlJc w:val="left"/>
      <w:pPr>
        <w:ind w:left="7241" w:hanging="360"/>
      </w:pPr>
      <w:rPr>
        <w:rFonts w:hint="default" w:ascii="Courier New" w:hAnsi="Courier New" w:cs="Courier New"/>
      </w:rPr>
    </w:lvl>
    <w:lvl w:ilvl="8" w:tplc="08090005" w:tentative="1">
      <w:start w:val="1"/>
      <w:numFmt w:val="bullet"/>
      <w:lvlText w:val=""/>
      <w:lvlJc w:val="left"/>
      <w:pPr>
        <w:ind w:left="7961" w:hanging="360"/>
      </w:pPr>
      <w:rPr>
        <w:rFonts w:hint="default" w:ascii="Wingdings" w:hAnsi="Wingdings"/>
      </w:rPr>
    </w:lvl>
  </w:abstractNum>
  <w:num w:numId="1">
    <w:abstractNumId w:val="0"/>
    <w:lvlOverride w:ilvl="0">
      <w:lvl w:ilvl="0">
        <w:start w:val="1"/>
        <w:numFmt w:val="decimal"/>
        <w:pStyle w:val="Normalnumber"/>
        <w:lvlText w:val="%1."/>
        <w:lvlJc w:val="left"/>
        <w:pPr>
          <w:tabs>
            <w:tab w:val="num" w:pos="567"/>
          </w:tabs>
          <w:ind w:left="1247"/>
        </w:pPr>
        <w:rPr>
          <w:rFonts w:hint="eastAsia" w:cs="Times New Roman"/>
        </w:rPr>
      </w:lvl>
    </w:lvlOverride>
    <w:lvlOverride w:ilvl="1">
      <w:lvl w:ilvl="1">
        <w:start w:val="1"/>
        <w:numFmt w:val="lowerLetter"/>
        <w:lvlText w:val="(%2)"/>
        <w:lvlJc w:val="left"/>
        <w:pPr>
          <w:tabs>
            <w:tab w:val="num" w:pos="567"/>
          </w:tabs>
          <w:ind w:left="1247" w:firstLine="567"/>
        </w:pPr>
        <w:rPr>
          <w:rFonts w:hint="eastAsia" w:cs="Times New Roman"/>
        </w:rPr>
      </w:lvl>
    </w:lvlOverride>
    <w:lvlOverride w:ilvl="2">
      <w:lvl w:ilvl="2">
        <w:start w:val="1"/>
        <w:numFmt w:val="lowerRoman"/>
        <w:lvlText w:val="(%3)"/>
        <w:lvlJc w:val="left"/>
        <w:pPr>
          <w:tabs>
            <w:tab w:val="num" w:pos="567"/>
          </w:tabs>
          <w:ind w:left="2948" w:hanging="567"/>
        </w:pPr>
        <w:rPr>
          <w:rFonts w:hint="eastAsia" w:cs="Times New Roman"/>
        </w:rPr>
      </w:lvl>
    </w:lvlOverride>
    <w:lvlOverride w:ilvl="3">
      <w:lvl w:ilvl="3">
        <w:start w:val="1"/>
        <w:numFmt w:val="lowerLetter"/>
        <w:lvlText w:val="%4."/>
        <w:lvlJc w:val="left"/>
        <w:pPr>
          <w:tabs>
            <w:tab w:val="num" w:pos="567"/>
          </w:tabs>
          <w:ind w:left="3515" w:hanging="567"/>
        </w:pPr>
        <w:rPr>
          <w:rFonts w:hint="eastAsia" w:cs="Times New Roman"/>
        </w:rPr>
      </w:lvl>
    </w:lvlOverride>
    <w:lvlOverride w:ilvl="4">
      <w:lvl w:ilvl="4">
        <w:start w:val="1"/>
        <w:numFmt w:val="lowerLetter"/>
        <w:lvlText w:val="%5."/>
        <w:lvlJc w:val="left"/>
        <w:pPr>
          <w:tabs>
            <w:tab w:val="num" w:pos="6548"/>
          </w:tabs>
          <w:ind w:left="6548" w:hanging="360"/>
        </w:pPr>
        <w:rPr>
          <w:rFonts w:hint="eastAsia" w:cs="Times New Roman"/>
        </w:rPr>
      </w:lvl>
    </w:lvlOverride>
    <w:lvlOverride w:ilvl="5">
      <w:lvl w:ilvl="5">
        <w:start w:val="1"/>
        <w:numFmt w:val="lowerRoman"/>
        <w:lvlText w:val="%6."/>
        <w:lvlJc w:val="right"/>
        <w:pPr>
          <w:tabs>
            <w:tab w:val="num" w:pos="7268"/>
          </w:tabs>
          <w:ind w:left="7268" w:hanging="180"/>
        </w:pPr>
        <w:rPr>
          <w:rFonts w:hint="eastAsia" w:cs="Times New Roman"/>
        </w:rPr>
      </w:lvl>
    </w:lvlOverride>
    <w:lvlOverride w:ilvl="6">
      <w:lvl w:ilvl="6">
        <w:start w:val="1"/>
        <w:numFmt w:val="decimal"/>
        <w:lvlText w:val="%7."/>
        <w:lvlJc w:val="left"/>
        <w:pPr>
          <w:tabs>
            <w:tab w:val="num" w:pos="7988"/>
          </w:tabs>
          <w:ind w:left="7988" w:hanging="360"/>
        </w:pPr>
        <w:rPr>
          <w:rFonts w:hint="eastAsia" w:cs="Times New Roman"/>
        </w:rPr>
      </w:lvl>
    </w:lvlOverride>
    <w:lvlOverride w:ilvl="7">
      <w:lvl w:ilvl="7">
        <w:start w:val="1"/>
        <w:numFmt w:val="lowerLetter"/>
        <w:lvlText w:val="%8."/>
        <w:lvlJc w:val="left"/>
        <w:pPr>
          <w:tabs>
            <w:tab w:val="num" w:pos="8708"/>
          </w:tabs>
          <w:ind w:left="8708" w:hanging="360"/>
        </w:pPr>
        <w:rPr>
          <w:rFonts w:hint="eastAsia" w:cs="Times New Roman"/>
        </w:rPr>
      </w:lvl>
    </w:lvlOverride>
    <w:lvlOverride w:ilvl="8">
      <w:lvl w:ilvl="8">
        <w:start w:val="1"/>
        <w:numFmt w:val="lowerRoman"/>
        <w:lvlText w:val="%9."/>
        <w:lvlJc w:val="right"/>
        <w:pPr>
          <w:tabs>
            <w:tab w:val="num" w:pos="9428"/>
          </w:tabs>
          <w:ind w:left="9428" w:hanging="180"/>
        </w:pPr>
        <w:rPr>
          <w:rFonts w:hint="eastAsia" w:cs="Times New Roman"/>
        </w:rPr>
      </w:lvl>
    </w:lvlOverride>
  </w:num>
  <w:num w:numId="2">
    <w:abstractNumId w:val="38"/>
  </w:num>
  <w:num w:numId="3">
    <w:abstractNumId w:val="11"/>
    <w:lvlOverride w:ilvl="0">
      <w:lvl w:ilvl="0">
        <w:start w:val="1"/>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41"/>
  </w:num>
  <w:num w:numId="5">
    <w:abstractNumId w:val="47"/>
  </w:num>
  <w:num w:numId="6">
    <w:abstractNumId w:val="2"/>
  </w:num>
  <w:num w:numId="7">
    <w:abstractNumId w:val="14"/>
  </w:num>
  <w:num w:numId="8">
    <w:abstractNumId w:val="21"/>
  </w:num>
  <w:num w:numId="9">
    <w:abstractNumId w:val="29"/>
  </w:num>
  <w:num w:numId="10">
    <w:abstractNumId w:val="3"/>
  </w:num>
  <w:num w:numId="11">
    <w:abstractNumId w:val="17"/>
  </w:num>
  <w:num w:numId="12">
    <w:abstractNumId w:val="4"/>
  </w:num>
  <w:num w:numId="13">
    <w:abstractNumId w:val="16"/>
  </w:num>
  <w:num w:numId="14">
    <w:abstractNumId w:val="18"/>
  </w:num>
  <w:num w:numId="15">
    <w:abstractNumId w:val="13"/>
  </w:num>
  <w:num w:numId="16">
    <w:abstractNumId w:val="30"/>
  </w:num>
  <w:num w:numId="17">
    <w:abstractNumId w:val="15"/>
  </w:num>
  <w:num w:numId="18">
    <w:abstractNumId w:val="25"/>
    <w:lvlOverride w:ilvl="0">
      <w:lvl w:ilvl="0" w:tplc="62001DBA">
        <w:start w:val="1"/>
        <w:numFmt w:val="decimal"/>
        <w:lvlText w:val="%1-"/>
        <w:lvlJc w:val="left"/>
        <w:pPr>
          <w:ind w:left="720" w:hanging="360"/>
        </w:pPr>
        <w:rPr>
          <w:rFonts w:hint="default" w:ascii="Traditional Arabic" w:hAnsi="Traditional Arabic" w:cs="Traditional Arabic"/>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43"/>
    <w:lvlOverride w:ilvl="0">
      <w:lvl w:ilvl="0" w:tplc="49E67CA0">
        <w:start w:val="1"/>
        <w:numFmt w:val="decimal"/>
        <w:lvlText w:val="%1-"/>
        <w:lvlJc w:val="left"/>
        <w:pPr>
          <w:ind w:left="1247" w:firstLine="0"/>
        </w:pPr>
        <w:rPr>
          <w:rFonts w:hint="default" w:cs="Traditional Arabic"/>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975664B2" w:tentative="1">
        <w:start w:val="1"/>
        <w:numFmt w:val="lowerLetter"/>
        <w:lvlText w:val="%2."/>
        <w:lvlJc w:val="left"/>
        <w:pPr>
          <w:ind w:left="1440" w:hanging="360"/>
        </w:pPr>
      </w:lvl>
    </w:lvlOverride>
    <w:lvlOverride w:ilvl="2">
      <w:lvl w:ilvl="2" w:tplc="98CEAC58" w:tentative="1">
        <w:start w:val="1"/>
        <w:numFmt w:val="lowerRoman"/>
        <w:lvlText w:val="%3."/>
        <w:lvlJc w:val="right"/>
        <w:pPr>
          <w:ind w:left="2160" w:hanging="180"/>
        </w:pPr>
      </w:lvl>
    </w:lvlOverride>
    <w:lvlOverride w:ilvl="3">
      <w:lvl w:ilvl="3" w:tplc="516AA2A0" w:tentative="1">
        <w:start w:val="1"/>
        <w:numFmt w:val="decimal"/>
        <w:lvlText w:val="%4."/>
        <w:lvlJc w:val="left"/>
        <w:pPr>
          <w:ind w:left="2880" w:hanging="360"/>
        </w:pPr>
      </w:lvl>
    </w:lvlOverride>
    <w:lvlOverride w:ilvl="4">
      <w:lvl w:ilvl="4" w:tplc="6FDCC29A" w:tentative="1">
        <w:start w:val="1"/>
        <w:numFmt w:val="lowerLetter"/>
        <w:lvlText w:val="%5."/>
        <w:lvlJc w:val="left"/>
        <w:pPr>
          <w:ind w:left="3600" w:hanging="360"/>
        </w:pPr>
      </w:lvl>
    </w:lvlOverride>
    <w:lvlOverride w:ilvl="5">
      <w:lvl w:ilvl="5" w:tplc="43BE21CA" w:tentative="1">
        <w:start w:val="1"/>
        <w:numFmt w:val="lowerRoman"/>
        <w:lvlText w:val="%6."/>
        <w:lvlJc w:val="right"/>
        <w:pPr>
          <w:ind w:left="4320" w:hanging="180"/>
        </w:pPr>
      </w:lvl>
    </w:lvlOverride>
    <w:lvlOverride w:ilvl="6">
      <w:lvl w:ilvl="6" w:tplc="931C0054" w:tentative="1">
        <w:start w:val="1"/>
        <w:numFmt w:val="decimal"/>
        <w:lvlText w:val="%7."/>
        <w:lvlJc w:val="left"/>
        <w:pPr>
          <w:ind w:left="5040" w:hanging="360"/>
        </w:pPr>
      </w:lvl>
    </w:lvlOverride>
    <w:lvlOverride w:ilvl="7">
      <w:lvl w:ilvl="7" w:tplc="0B506FC0" w:tentative="1">
        <w:start w:val="1"/>
        <w:numFmt w:val="lowerLetter"/>
        <w:lvlText w:val="%8."/>
        <w:lvlJc w:val="left"/>
        <w:pPr>
          <w:ind w:left="5760" w:hanging="360"/>
        </w:pPr>
      </w:lvl>
    </w:lvlOverride>
    <w:lvlOverride w:ilvl="8">
      <w:lvl w:ilvl="8" w:tplc="B7909EF6" w:tentative="1">
        <w:start w:val="1"/>
        <w:numFmt w:val="lowerRoman"/>
        <w:lvlText w:val="%9."/>
        <w:lvlJc w:val="right"/>
        <w:pPr>
          <w:ind w:left="6480" w:hanging="180"/>
        </w:pPr>
      </w:lvl>
    </w:lvlOverride>
  </w:num>
  <w:num w:numId="20">
    <w:abstractNumId w:val="43"/>
    <w:lvlOverride w:ilvl="0">
      <w:lvl w:ilvl="0" w:tplc="49E67CA0">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5664B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8CEAC58">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16AA2A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FDCC29A">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3BE21CA">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1C0054">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B506FC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909EF6">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3"/>
    <w:lvlOverride w:ilvl="0">
      <w:lvl w:ilvl="0" w:tplc="49E67CA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5664B2">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8CEAC58">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16AA2A0">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FDCC29A">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3BE21CA">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1C0054">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B506FC0">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909EF6">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0"/>
  </w:num>
  <w:num w:numId="23">
    <w:abstractNumId w:val="20"/>
    <w:lvlOverride w:ilvl="0">
      <w:lvl w:ilvl="0" w:tplc="3B348DEA">
        <w:start w:val="1"/>
        <w:numFmt w:val="decimal"/>
        <w:lvlText w:val="%1-"/>
        <w:lvlJc w:val="left"/>
        <w:pPr>
          <w:ind w:left="1967" w:hanging="360"/>
        </w:pPr>
        <w:rPr>
          <w:i w:val="0"/>
          <w:iCs w:val="0"/>
        </w:rPr>
      </w:lvl>
    </w:lvlOverride>
  </w:num>
  <w:num w:numId="24">
    <w:abstractNumId w:val="4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5"/>
  </w:num>
  <w:num w:numId="37">
    <w:abstractNumId w:val="37"/>
  </w:num>
  <w:num w:numId="38">
    <w:abstractNumId w:val="28"/>
  </w:num>
  <w:num w:numId="39">
    <w:abstractNumId w:val="32"/>
  </w:num>
  <w:num w:numId="40">
    <w:abstractNumId w:val="19"/>
  </w:num>
  <w:num w:numId="41">
    <w:abstractNumId w:val="11"/>
    <w:lvlOverride w:ilvl="0">
      <w:lvl w:ilvl="0">
        <w:start w:val="1"/>
        <w:numFmt w:val="decimal"/>
        <w:lvlText w:val="%1-"/>
        <w:lvlJc w:val="left"/>
        <w:pPr>
          <w:ind w:left="1494" w:hanging="360"/>
        </w:pPr>
        <w:rPr>
          <w:rFonts w:hint="default" w:cs="Traditional Arabic"/>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8"/>
  </w:num>
  <w:num w:numId="43">
    <w:abstractNumId w:val="22"/>
  </w:num>
  <w:num w:numId="44">
    <w:abstractNumId w:val="1"/>
  </w:num>
  <w:num w:numId="45">
    <w:abstractNumId w:val="36"/>
  </w:num>
  <w:num w:numId="46">
    <w:abstractNumId w:val="33"/>
  </w:num>
  <w:num w:numId="47">
    <w:abstractNumId w:val="31"/>
    <w:lvlOverride w:ilvl="0">
      <w:lvl w:ilvl="0" w:tplc="6724289E">
        <w:start w:val="1"/>
        <w:numFmt w:val="decimal"/>
        <w:lvlText w:val="%1-"/>
        <w:lvlJc w:val="left"/>
        <w:pPr>
          <w:ind w:left="2231" w:hanging="360"/>
        </w:pPr>
        <w:rPr>
          <w:rFonts w:hint="default"/>
          <w:i/>
          <w:iCs w:val="0"/>
        </w:rPr>
      </w:lvl>
    </w:lvlOverride>
  </w:num>
  <w:num w:numId="48">
    <w:abstractNumId w:val="46"/>
  </w:num>
  <w:num w:numId="49">
    <w:abstractNumId w:val="44"/>
  </w:num>
  <w:num w:numId="50">
    <w:abstractNumId w:val="35"/>
  </w:num>
  <w:num w:numId="51">
    <w:abstractNumId w:val="27"/>
  </w:num>
  <w:num w:numId="52">
    <w:abstractNumId w:val="49"/>
  </w:num>
  <w:num w:numId="53">
    <w:abstractNumId w:val="39"/>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BD9"/>
    <w:rsid w:val="00033595"/>
    <w:rsid w:val="00033A5C"/>
    <w:rsid w:val="00037D52"/>
    <w:rsid w:val="0004010A"/>
    <w:rsid w:val="00043F86"/>
    <w:rsid w:val="00050DAD"/>
    <w:rsid w:val="00051665"/>
    <w:rsid w:val="0006021A"/>
    <w:rsid w:val="00065001"/>
    <w:rsid w:val="000668FE"/>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1C12"/>
    <w:rsid w:val="00153644"/>
    <w:rsid w:val="001536B1"/>
    <w:rsid w:val="00154323"/>
    <w:rsid w:val="00154CC2"/>
    <w:rsid w:val="001640DB"/>
    <w:rsid w:val="00165BE3"/>
    <w:rsid w:val="0017427B"/>
    <w:rsid w:val="00174BBC"/>
    <w:rsid w:val="00177C0C"/>
    <w:rsid w:val="001841AD"/>
    <w:rsid w:val="001844E3"/>
    <w:rsid w:val="00186DE2"/>
    <w:rsid w:val="0019245F"/>
    <w:rsid w:val="001A0F83"/>
    <w:rsid w:val="001A6258"/>
    <w:rsid w:val="001B03D9"/>
    <w:rsid w:val="001C1DD1"/>
    <w:rsid w:val="001C513F"/>
    <w:rsid w:val="001D3A25"/>
    <w:rsid w:val="001D6BA5"/>
    <w:rsid w:val="001E1443"/>
    <w:rsid w:val="001E4795"/>
    <w:rsid w:val="001E6E8E"/>
    <w:rsid w:val="001F0C9C"/>
    <w:rsid w:val="001F171C"/>
    <w:rsid w:val="001F390D"/>
    <w:rsid w:val="001F6E39"/>
    <w:rsid w:val="002079F8"/>
    <w:rsid w:val="00212AED"/>
    <w:rsid w:val="002300EA"/>
    <w:rsid w:val="0023160B"/>
    <w:rsid w:val="002323CD"/>
    <w:rsid w:val="00233A01"/>
    <w:rsid w:val="002351C8"/>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11F"/>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BD3"/>
    <w:rsid w:val="00390CD8"/>
    <w:rsid w:val="003923ED"/>
    <w:rsid w:val="00397363"/>
    <w:rsid w:val="003A515B"/>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411E"/>
    <w:rsid w:val="005F5925"/>
    <w:rsid w:val="00601018"/>
    <w:rsid w:val="0060188A"/>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12C4"/>
    <w:rsid w:val="00683FE0"/>
    <w:rsid w:val="00684004"/>
    <w:rsid w:val="00684243"/>
    <w:rsid w:val="00687D8B"/>
    <w:rsid w:val="00696059"/>
    <w:rsid w:val="006A7E4F"/>
    <w:rsid w:val="006B05FA"/>
    <w:rsid w:val="006B0935"/>
    <w:rsid w:val="006B54B1"/>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522D"/>
    <w:rsid w:val="00925EB2"/>
    <w:rsid w:val="00926C1F"/>
    <w:rsid w:val="00931CC7"/>
    <w:rsid w:val="00933976"/>
    <w:rsid w:val="00934EBC"/>
    <w:rsid w:val="00934FB6"/>
    <w:rsid w:val="00942017"/>
    <w:rsid w:val="00952DAB"/>
    <w:rsid w:val="00955980"/>
    <w:rsid w:val="00955DD8"/>
    <w:rsid w:val="0096003E"/>
    <w:rsid w:val="0096449B"/>
    <w:rsid w:val="00980B82"/>
    <w:rsid w:val="009819E2"/>
    <w:rsid w:val="00983518"/>
    <w:rsid w:val="009879BE"/>
    <w:rsid w:val="0099049A"/>
    <w:rsid w:val="009A052E"/>
    <w:rsid w:val="009A0564"/>
    <w:rsid w:val="009A11E7"/>
    <w:rsid w:val="009A1FDF"/>
    <w:rsid w:val="009A6C71"/>
    <w:rsid w:val="009B2A75"/>
    <w:rsid w:val="009B4D56"/>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7F0F"/>
    <w:rsid w:val="00A108BD"/>
    <w:rsid w:val="00A16837"/>
    <w:rsid w:val="00A178E1"/>
    <w:rsid w:val="00A23B72"/>
    <w:rsid w:val="00A26E11"/>
    <w:rsid w:val="00A3462E"/>
    <w:rsid w:val="00A34C1A"/>
    <w:rsid w:val="00A45C22"/>
    <w:rsid w:val="00A579D1"/>
    <w:rsid w:val="00A57F44"/>
    <w:rsid w:val="00A67825"/>
    <w:rsid w:val="00A72157"/>
    <w:rsid w:val="00A76B59"/>
    <w:rsid w:val="00A969A0"/>
    <w:rsid w:val="00AA32A0"/>
    <w:rsid w:val="00AB1E5D"/>
    <w:rsid w:val="00AC4CA6"/>
    <w:rsid w:val="00AC5F19"/>
    <w:rsid w:val="00AE4729"/>
    <w:rsid w:val="00AF0DF6"/>
    <w:rsid w:val="00B0033E"/>
    <w:rsid w:val="00B10B6E"/>
    <w:rsid w:val="00B110B0"/>
    <w:rsid w:val="00B1604D"/>
    <w:rsid w:val="00B179A4"/>
    <w:rsid w:val="00B25AA3"/>
    <w:rsid w:val="00B3054B"/>
    <w:rsid w:val="00B336C3"/>
    <w:rsid w:val="00B42C89"/>
    <w:rsid w:val="00B602AD"/>
    <w:rsid w:val="00B61FE1"/>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05DE"/>
    <w:rsid w:val="00BD1906"/>
    <w:rsid w:val="00BD4A65"/>
    <w:rsid w:val="00BE20CA"/>
    <w:rsid w:val="00BE2C98"/>
    <w:rsid w:val="00BE537B"/>
    <w:rsid w:val="00BE7A14"/>
    <w:rsid w:val="00BF64C6"/>
    <w:rsid w:val="00BF7F42"/>
    <w:rsid w:val="00C0594F"/>
    <w:rsid w:val="00C1200F"/>
    <w:rsid w:val="00C1297E"/>
    <w:rsid w:val="00C13958"/>
    <w:rsid w:val="00C2111C"/>
    <w:rsid w:val="00C25681"/>
    <w:rsid w:val="00C33F5C"/>
    <w:rsid w:val="00C34FDE"/>
    <w:rsid w:val="00C36378"/>
    <w:rsid w:val="00C37B3A"/>
    <w:rsid w:val="00C47E78"/>
    <w:rsid w:val="00C56205"/>
    <w:rsid w:val="00C63805"/>
    <w:rsid w:val="00C712BF"/>
    <w:rsid w:val="00C733FD"/>
    <w:rsid w:val="00C7529E"/>
    <w:rsid w:val="00C75C0B"/>
    <w:rsid w:val="00C85728"/>
    <w:rsid w:val="00C86BDC"/>
    <w:rsid w:val="00C90A4C"/>
    <w:rsid w:val="00C91665"/>
    <w:rsid w:val="00C94729"/>
    <w:rsid w:val="00CA4F8C"/>
    <w:rsid w:val="00CB79F1"/>
    <w:rsid w:val="00CC11B7"/>
    <w:rsid w:val="00CC16CF"/>
    <w:rsid w:val="00CD0AA9"/>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240DC"/>
    <w:rsid w:val="00F26CD0"/>
    <w:rsid w:val="00F27CB2"/>
    <w:rsid w:val="00F43FA5"/>
    <w:rsid w:val="00F47390"/>
    <w:rsid w:val="00F50135"/>
    <w:rsid w:val="00F51E3D"/>
    <w:rsid w:val="00F61AB5"/>
    <w:rsid w:val="00F6259B"/>
    <w:rsid w:val="00F64BB3"/>
    <w:rsid w:val="00F70974"/>
    <w:rsid w:val="00F70C3F"/>
    <w:rsid w:val="00F7639B"/>
    <w:rsid w:val="00F93241"/>
    <w:rsid w:val="00F95865"/>
    <w:rsid w:val="00FB59A6"/>
    <w:rsid w:val="00FC5790"/>
    <w:rsid w:val="00FD576F"/>
    <w:rsid w:val="00FD7BCB"/>
    <w:rsid w:val="00FD7F76"/>
    <w:rsid w:val="00FE0F78"/>
    <w:rsid w:val="00FE21C0"/>
    <w:rsid w:val="00FE2BAC"/>
    <w:rsid w:val="052CC042"/>
    <w:rsid w:val="07C33AEA"/>
    <w:rsid w:val="0EC64CB4"/>
    <w:rsid w:val="113DA3D1"/>
    <w:rsid w:val="11814734"/>
    <w:rsid w:val="1AFF361B"/>
    <w:rsid w:val="2910D70F"/>
    <w:rsid w:val="2ED2404C"/>
    <w:rsid w:val="2F26E875"/>
    <w:rsid w:val="376992A0"/>
    <w:rsid w:val="3F9379D6"/>
    <w:rsid w:val="43A877B5"/>
    <w:rsid w:val="5460B000"/>
    <w:rsid w:val="5787802D"/>
    <w:rsid w:val="5B72BECD"/>
    <w:rsid w:val="5E04A5AA"/>
    <w:rsid w:val="6AF2682A"/>
    <w:rsid w:val="7728DDC4"/>
    <w:rsid w:val="7DCDA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A23809FE-5DDA-46E2-A20F-415AE092F5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styleId="Level1" w:customStyle="1">
    <w:name w:val="Level1"/>
    <w:basedOn w:val="Normal"/>
    <w:pPr>
      <w:tabs>
        <w:tab w:val="left" w:pos="578"/>
        <w:tab w:val="left" w:pos="1157"/>
      </w:tabs>
      <w:spacing w:after="240"/>
    </w:pPr>
    <w:rPr>
      <w:rFonts w:cs="Times New Roman"/>
      <w:szCs w:val="22"/>
      <w:lang w:val="en-GB" w:eastAsia="fr-FR"/>
    </w:rPr>
  </w:style>
  <w:style w:type="paragraph" w:styleId="font6" w:customStyle="1">
    <w:name w:val="font6"/>
    <w:basedOn w:val="Normal"/>
    <w:pPr>
      <w:spacing w:before="100" w:beforeAutospacing="1" w:after="100" w:afterAutospacing="1"/>
    </w:pPr>
    <w:rPr>
      <w:rFonts w:ascii="Arial" w:hAnsi="Arial" w:eastAsia="Arial Unicode MS"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styleId="SingleTxt" w:customStyle="1">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styleId="Normal-pool" w:customStyle="1">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styleId="Normal-poolChar" w:customStyle="1">
    <w:name w:val="Normal-pool Char"/>
    <w:link w:val="Normal-pool"/>
    <w:rsid w:val="00317E61"/>
    <w:rPr>
      <w:lang w:val="en-GB" w:eastAsia="en-US" w:bidi="ar-SA"/>
    </w:rPr>
  </w:style>
  <w:style w:type="paragraph" w:styleId="ListParagraph1" w:customStyle="1">
    <w:name w:val="List Paragraph1"/>
    <w:basedOn w:val="Normal"/>
    <w:rsid w:val="00317E61"/>
    <w:pPr>
      <w:spacing w:after="120"/>
      <w:ind w:left="720"/>
      <w:contextualSpacing/>
      <w:jc w:val="both"/>
    </w:pPr>
    <w:rPr>
      <w:rFonts w:ascii="Cambria" w:hAnsi="Cambria" w:eastAsia="MS Mincho" w:cs="Times New Roman"/>
      <w:sz w:val="24"/>
      <w:szCs w:val="20"/>
      <w:lang w:val="de-DE"/>
    </w:rPr>
  </w:style>
  <w:style w:type="paragraph" w:styleId="ZZAnxheader" w:customStyle="1">
    <w:name w:val="ZZ_Anx_header"/>
    <w:basedOn w:val="Normal-pool"/>
    <w:link w:val="ZZAnxheaderChar"/>
    <w:rsid w:val="00317E61"/>
    <w:rPr>
      <w:b/>
      <w:bCs/>
      <w:sz w:val="28"/>
      <w:szCs w:val="22"/>
    </w:rPr>
  </w:style>
  <w:style w:type="character" w:styleId="FootnoteTextChar" w:customStyle="1">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styleId="BalloonTextChar" w:customStyle="1">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styleId="BodyText3Char" w:customStyle="1">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styleId="BodyTextIndentChar" w:customStyle="1">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styleId="EndnoteTextChar" w:customStyle="1">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styleId="TitleChar" w:customStyle="1">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styleId="SubtitleChar" w:customStyle="1">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styleId="BodyTextIndent2Char" w:customStyle="1">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styleId="BodyTextIndent3Char" w:customStyle="1">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styleId="Normal-num" w:customStyle="1">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styleId="DeltaViewInsertion" w:customStyle="1">
    <w:name w:val="DeltaView Insertion"/>
    <w:uiPriority w:val="99"/>
    <w:rsid w:val="00E176E7"/>
    <w:rPr>
      <w:color w:val="0000FF"/>
      <w:u w:val="double"/>
    </w:rPr>
  </w:style>
  <w:style w:type="paragraph" w:styleId="Normalnumber" w:customStyle="1">
    <w:name w:val="Normal_number"/>
    <w:basedOn w:val="Normal"/>
    <w:link w:val="NormalnumberChar"/>
    <w:rsid w:val="00E176E7"/>
    <w:pPr>
      <w:numPr>
        <w:numId w:val="1"/>
      </w:numPr>
      <w:autoSpaceDE w:val="0"/>
      <w:autoSpaceDN w:val="0"/>
      <w:adjustRightInd w:val="0"/>
      <w:spacing w:after="120"/>
    </w:pPr>
    <w:rPr>
      <w:rFonts w:cs="Times New Roman" w:eastAsiaTheme="minorEastAsia"/>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styleId="Normalpool" w:customStyle="1">
    <w:name w:val="Normal_pool"/>
    <w:link w:val="NormalpoolChar"/>
    <w:rsid w:val="00D113A9"/>
    <w:pPr>
      <w:tabs>
        <w:tab w:val="left" w:pos="1253"/>
        <w:tab w:val="left" w:pos="1814"/>
        <w:tab w:val="left" w:pos="2376"/>
        <w:tab w:val="left" w:pos="2952"/>
        <w:tab w:val="left" w:pos="3514"/>
      </w:tabs>
    </w:pPr>
    <w:rPr>
      <w:rFonts w:cs="Times New Roman" w:eastAsiaTheme="minorHAnsi"/>
      <w:sz w:val="22"/>
      <w:szCs w:val="22"/>
      <w:lang w:val="en-GB"/>
    </w:rPr>
  </w:style>
  <w:style w:type="character" w:styleId="NormalnumberChar" w:customStyle="1">
    <w:name w:val="Normal_number Char"/>
    <w:link w:val="Normalnumber"/>
    <w:locked/>
    <w:rsid w:val="00D113A9"/>
    <w:rPr>
      <w:rFonts w:cs="Times New Roman" w:eastAsiaTheme="minorEastAsia"/>
      <w:szCs w:val="24"/>
    </w:rPr>
  </w:style>
  <w:style w:type="numbering" w:styleId="Normallist" w:customStyle="1">
    <w:name w:val="Normal_list"/>
    <w:rsid w:val="00D113A9"/>
    <w:pPr>
      <w:numPr>
        <w:numId w:val="2"/>
      </w:numPr>
    </w:pPr>
  </w:style>
  <w:style w:type="character" w:styleId="NormalpoolChar" w:customStyle="1">
    <w:name w:val="Normal_pool Char"/>
    <w:link w:val="Normalpool"/>
    <w:locked/>
    <w:rsid w:val="00D113A9"/>
    <w:rPr>
      <w:rFonts w:cs="Times New Roman" w:eastAsiaTheme="minorHAnsi"/>
      <w:sz w:val="22"/>
      <w:szCs w:val="22"/>
      <w:lang w:val="en-GB"/>
    </w:rPr>
  </w:style>
  <w:style w:type="table" w:styleId="TableGrid">
    <w:name w:val="Table Grid"/>
    <w:basedOn w:val="TableNormal"/>
    <w:rsid w:val="00D113A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har1CharCharCharCharCharChar" w:customStyle="1">
    <w:name w:val="Char1 Char Char Char Char Char Char"/>
    <w:basedOn w:val="Normal"/>
    <w:rsid w:val="00C2111C"/>
    <w:pPr>
      <w:spacing w:after="160" w:line="240" w:lineRule="exact"/>
    </w:pPr>
    <w:rPr>
      <w:rFonts w:ascii="Tahoma" w:hAnsi="Tahoma" w:cs="Times New Roman"/>
      <w:szCs w:val="20"/>
    </w:rPr>
  </w:style>
  <w:style w:type="character" w:styleId="hps" w:customStyle="1">
    <w:name w:val="hps"/>
    <w:rsid w:val="00C2111C"/>
  </w:style>
  <w:style w:type="paragraph" w:styleId="CH2" w:customStyle="1">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hAnsiTheme="minorHAnsi" w:eastAsiaTheme="minorHAnsi"/>
      <w:b/>
      <w:sz w:val="24"/>
      <w:szCs w:val="24"/>
      <w:lang w:val="en-GB"/>
    </w:rPr>
  </w:style>
  <w:style w:type="paragraph" w:styleId="CH1" w:customStyle="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hAnsiTheme="minorHAnsi" w:eastAsiaTheme="minorHAnsi"/>
      <w:b/>
      <w:sz w:val="28"/>
      <w:szCs w:val="28"/>
      <w:lang w:val="en-GB"/>
    </w:rPr>
  </w:style>
  <w:style w:type="character" w:styleId="CH2Char" w:customStyle="1">
    <w:name w:val="CH2 Char"/>
    <w:link w:val="CH2"/>
    <w:locked/>
    <w:rsid w:val="00AC4CA6"/>
    <w:rPr>
      <w:rFonts w:hAnsiTheme="minorHAnsi" w:eastAsiaTheme="minorHAnsi"/>
      <w:b/>
      <w:sz w:val="24"/>
      <w:szCs w:val="24"/>
      <w:lang w:val="en-GB"/>
    </w:rPr>
  </w:style>
  <w:style w:type="paragraph" w:styleId="BBTitle" w:customStyle="1">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hAnsiTheme="minorHAnsi" w:eastAsiaTheme="minorHAnsi"/>
      <w:b/>
      <w:sz w:val="28"/>
      <w:szCs w:val="28"/>
      <w:lang w:val="en-GB"/>
    </w:rPr>
  </w:style>
  <w:style w:type="paragraph" w:styleId="AATitle" w:customStyle="1">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hint="cs" w:hAnsiTheme="minorHAnsi" w:eastAsiaTheme="minorHAnsi"/>
      <w:b/>
      <w:lang w:val="en-GB"/>
    </w:rPr>
  </w:style>
  <w:style w:type="paragraph" w:styleId="CH3" w:customStyle="1">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hAnsiTheme="minorHAnsi" w:eastAsiaTheme="minorHAnsi"/>
      <w:b/>
      <w:lang w:val="en-GB"/>
    </w:rPr>
  </w:style>
  <w:style w:type="paragraph" w:styleId="ZZAnxtitle" w:customStyle="1">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hAnsiTheme="minorHAnsi" w:eastAsiaTheme="minorHAnsi"/>
      <w:b/>
      <w:bCs/>
      <w:sz w:val="28"/>
      <w:szCs w:val="26"/>
      <w:lang w:val="en-GB"/>
    </w:rPr>
  </w:style>
  <w:style w:type="character" w:styleId="CH3Char" w:customStyle="1">
    <w:name w:val="CH3 Char"/>
    <w:link w:val="CH3"/>
    <w:locked/>
    <w:rsid w:val="00EA1C1B"/>
    <w:rPr>
      <w:rFonts w:hAnsiTheme="minorHAnsi" w:eastAsiaTheme="minorHAnsi"/>
      <w:b/>
      <w:szCs w:val="30"/>
      <w:lang w:val="en-GB"/>
    </w:rPr>
  </w:style>
  <w:style w:type="character" w:styleId="ZZAnxheaderChar" w:customStyle="1">
    <w:name w:val="ZZ_Anx_header Char"/>
    <w:link w:val="ZZAnxheader"/>
    <w:locked/>
    <w:rsid w:val="00EA1C1B"/>
    <w:rPr>
      <w:rFonts w:cs="Times New Roman"/>
      <w:b/>
      <w:bCs/>
      <w:sz w:val="28"/>
      <w:szCs w:val="22"/>
      <w:lang w:val="en-GB"/>
    </w:rPr>
  </w:style>
  <w:style w:type="character" w:styleId="ZZAnxtitleChar" w:customStyle="1">
    <w:name w:val="ZZ_Anx_title Char"/>
    <w:link w:val="ZZAnxtitle"/>
    <w:locked/>
    <w:rsid w:val="00EA1C1B"/>
    <w:rPr>
      <w:rFonts w:hAnsiTheme="minorHAnsi" w:eastAsiaTheme="minorHAnsi"/>
      <w:b/>
      <w:bCs/>
      <w:sz w:val="28"/>
      <w:szCs w:val="26"/>
      <w:lang w:val="en-GB"/>
    </w:rPr>
  </w:style>
  <w:style w:type="character" w:styleId="ListParagraphChar" w:customStyle="1">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styleId="HeaderChar" w:customStyle="1">
    <w:name w:val="Header Char"/>
    <w:aliases w:val="Header-pool Char"/>
    <w:basedOn w:val="DefaultParagraphFont"/>
    <w:link w:val="Header"/>
    <w:rsid w:val="00EA1C1B"/>
    <w:rPr>
      <w:rFonts w:ascii="Times" w:hAnsi="Times"/>
      <w:noProof/>
      <w:szCs w:val="24"/>
    </w:rPr>
  </w:style>
  <w:style w:type="character" w:styleId="FooterChar" w:customStyle="1">
    <w:name w:val="Footer Char"/>
    <w:aliases w:val="Footer-pool Char"/>
    <w:basedOn w:val="DefaultParagraphFont"/>
    <w:link w:val="Footer"/>
    <w:rsid w:val="00EA1C1B"/>
    <w:rPr>
      <w:rFonts w:ascii="Times" w:hAnsi="Times"/>
      <w:noProof/>
      <w:szCs w:val="24"/>
    </w:rPr>
  </w:style>
  <w:style w:type="paragraph" w:styleId="Default" w:customStyle="1">
    <w:name w:val="Default"/>
    <w:uiPriority w:val="99"/>
    <w:rsid w:val="00EA1C1B"/>
    <w:pPr>
      <w:autoSpaceDE w:val="0"/>
      <w:autoSpaceDN w:val="0"/>
      <w:adjustRightInd w:val="0"/>
    </w:pPr>
    <w:rPr>
      <w:rFonts w:ascii="Roboto" w:hAnsi="Roboto" w:cs="Roboto" w:eastAsiaTheme="minorEastAsia"/>
      <w:color w:val="000000"/>
      <w:sz w:val="24"/>
      <w:szCs w:val="24"/>
      <w:lang w:val="en-GB"/>
    </w:rPr>
  </w:style>
  <w:style w:type="character" w:styleId="BodyTextChar" w:customStyle="1">
    <w:name w:val="Body Text Char"/>
    <w:basedOn w:val="DefaultParagraphFont"/>
    <w:link w:val="BodyText"/>
    <w:rsid w:val="00EA1C1B"/>
    <w:rPr>
      <w:rFonts w:ascii="Times" w:hAnsi="Times"/>
      <w:szCs w:val="30"/>
    </w:rPr>
  </w:style>
  <w:style w:type="character" w:styleId="Heading9Char" w:customStyle="1">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hint="cs" w:hAnsiTheme="minorHAnsi" w:eastAsiaTheme="minorHAnsi"/>
      <w:sz w:val="18"/>
      <w:szCs w:val="18"/>
      <w:lang w:val="en-GB"/>
    </w:rPr>
  </w:style>
  <w:style w:type="paragraph" w:styleId="Addedtext" w:customStyle="1">
    <w:name w:val="Added text"/>
    <w:basedOn w:val="Normal"/>
    <w:qFormat/>
    <w:rsid w:val="00EA1C1B"/>
    <w:pPr>
      <w:tabs>
        <w:tab w:val="left" w:pos="1247"/>
        <w:tab w:val="left" w:pos="1814"/>
        <w:tab w:val="left" w:pos="2381"/>
        <w:tab w:val="left" w:pos="2948"/>
        <w:tab w:val="left" w:pos="3515"/>
      </w:tabs>
      <w:spacing w:after="120" w:line="276" w:lineRule="auto"/>
    </w:pPr>
    <w:rPr>
      <w:rFonts w:hint="cs" w:hAnsiTheme="minorHAnsi" w:eastAsiaTheme="minorHAnsi"/>
      <w:color w:val="FF0000"/>
      <w:sz w:val="24"/>
      <w:lang w:val="en-GB"/>
    </w:rPr>
  </w:style>
  <w:style w:type="character" w:styleId="BBTitleChar" w:customStyle="1">
    <w:name w:val="BB_Title Char"/>
    <w:link w:val="BBTitle"/>
    <w:rsid w:val="00EA1C1B"/>
    <w:rPr>
      <w:rFonts w:hAnsiTheme="minorHAnsi" w:eastAsia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hint="cs" w:hAnsiTheme="minorHAnsi" w:eastAsiaTheme="minorHAnsi"/>
      <w:lang w:val="en-GB"/>
    </w:rPr>
  </w:style>
  <w:style w:type="character" w:styleId="CommentTextChar" w:customStyle="1">
    <w:name w:val="Comment Text Char"/>
    <w:basedOn w:val="DefaultParagraphFont"/>
    <w:link w:val="CommentText"/>
    <w:rsid w:val="00EA1C1B"/>
    <w:rPr>
      <w:rFonts w:hAnsiTheme="minorHAnsi" w:eastAsia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styleId="CommentSubjectChar" w:customStyle="1">
    <w:name w:val="Comment Subject Char"/>
    <w:basedOn w:val="CommentTextChar"/>
    <w:link w:val="CommentSubject"/>
    <w:uiPriority w:val="99"/>
    <w:semiHidden/>
    <w:rsid w:val="00EA1C1B"/>
    <w:rPr>
      <w:rFonts w:hAnsiTheme="minorHAnsi" w:eastAsiaTheme="minorHAnsi"/>
      <w:b/>
      <w:bCs/>
      <w:szCs w:val="30"/>
      <w:lang w:val="en-GB"/>
    </w:rPr>
  </w:style>
  <w:style w:type="paragraph" w:styleId="Revision">
    <w:name w:val="Revision"/>
    <w:hidden/>
    <w:uiPriority w:val="99"/>
    <w:semiHidden/>
    <w:rsid w:val="00EA1C1B"/>
    <w:rPr>
      <w:rFonts w:cs="Times New Roman"/>
      <w:lang w:val="en-GB"/>
    </w:rPr>
  </w:style>
  <w:style w:type="character" w:styleId="Heading1Char" w:customStyle="1">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hint="cs" w:hAnsiTheme="minorHAnsi" w:eastAsiaTheme="minorHAnsi"/>
      <w:lang w:val="en-GB"/>
    </w:rPr>
  </w:style>
  <w:style w:type="character" w:styleId="Heading2Char" w:customStyle="1">
    <w:name w:val="Heading 2 Char"/>
    <w:basedOn w:val="DefaultParagraphFont"/>
    <w:link w:val="Heading2"/>
    <w:rsid w:val="00EA1C1B"/>
    <w:rPr>
      <w:szCs w:val="30"/>
      <w:u w:val="single"/>
    </w:rPr>
  </w:style>
  <w:style w:type="character" w:styleId="Heading3Char" w:customStyle="1">
    <w:name w:val="Heading 3 Char"/>
    <w:basedOn w:val="DefaultParagraphFont"/>
    <w:link w:val="Heading3"/>
    <w:rsid w:val="00EA1C1B"/>
    <w:rPr>
      <w:szCs w:val="30"/>
      <w:u w:val="single"/>
    </w:rPr>
  </w:style>
  <w:style w:type="character" w:styleId="Heading4Char" w:customStyle="1">
    <w:name w:val="Heading 4 Char"/>
    <w:basedOn w:val="DefaultParagraphFont"/>
    <w:link w:val="Heading4"/>
    <w:rsid w:val="00EA1C1B"/>
    <w:rPr>
      <w:szCs w:val="30"/>
    </w:rPr>
  </w:style>
  <w:style w:type="character" w:styleId="Heading5Char" w:customStyle="1">
    <w:name w:val="Heading 5 Char"/>
    <w:basedOn w:val="DefaultParagraphFont"/>
    <w:link w:val="Heading5"/>
    <w:rsid w:val="00EA1C1B"/>
    <w:rPr>
      <w:rFonts w:ascii="Times" w:hAnsi="Times" w:cs="Arabic Transparent"/>
      <w:b/>
      <w:bCs/>
      <w:noProof/>
      <w:szCs w:val="44"/>
    </w:rPr>
  </w:style>
  <w:style w:type="character" w:styleId="Heading6Char" w:customStyle="1">
    <w:name w:val="Heading 6 Char"/>
    <w:basedOn w:val="DefaultParagraphFont"/>
    <w:link w:val="Heading6"/>
    <w:rsid w:val="00EA1C1B"/>
    <w:rPr>
      <w:szCs w:val="30"/>
      <w:u w:val="single"/>
    </w:rPr>
  </w:style>
  <w:style w:type="character" w:styleId="Heading7Char" w:customStyle="1">
    <w:name w:val="Heading 7 Char"/>
    <w:basedOn w:val="DefaultParagraphFont"/>
    <w:link w:val="Heading7"/>
    <w:rsid w:val="00EA1C1B"/>
    <w:rPr>
      <w:rFonts w:ascii="Times" w:hAnsi="Times"/>
      <w:b/>
      <w:bCs/>
      <w:noProof/>
      <w:szCs w:val="30"/>
    </w:rPr>
  </w:style>
  <w:style w:type="character" w:styleId="Heading8Char" w:customStyle="1">
    <w:name w:val="Heading 8 Char"/>
    <w:basedOn w:val="DefaultParagraphFont"/>
    <w:link w:val="Heading8"/>
    <w:rsid w:val="00EA1C1B"/>
    <w:rPr>
      <w:b/>
      <w:bCs/>
      <w:sz w:val="30"/>
      <w:szCs w:val="30"/>
    </w:rPr>
  </w:style>
  <w:style w:type="paragraph" w:styleId="NormalNonumber" w:customStyle="1">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hAnsiTheme="minorHAnsi" w:eastAsiaTheme="minorHAnsi"/>
      <w:lang w:val="en-GB"/>
    </w:rPr>
  </w:style>
  <w:style w:type="paragraph" w:styleId="Articleheading" w:customStyle="1">
    <w:name w:val="Article heading"/>
    <w:basedOn w:val="Normal"/>
    <w:next w:val="Subtitle"/>
    <w:rsid w:val="00EA1C1B"/>
    <w:pPr>
      <w:numPr>
        <w:numId w:val="4"/>
      </w:numPr>
      <w:tabs>
        <w:tab w:val="clear" w:pos="567"/>
      </w:tabs>
      <w:spacing w:after="240"/>
      <w:ind w:left="720" w:firstLine="3600"/>
    </w:pPr>
    <w:rPr>
      <w:rFonts w:hint="cs" w:hAnsiTheme="minorHAnsi" w:eastAsiaTheme="minorHAnsi"/>
      <w:sz w:val="28"/>
      <w:szCs w:val="28"/>
      <w:lang w:val="en-GB"/>
    </w:rPr>
  </w:style>
  <w:style w:type="character" w:styleId="Inget" w:customStyle="1">
    <w:name w:val="Inget"/>
    <w:rsid w:val="00EA1C1B"/>
  </w:style>
  <w:style w:type="numbering" w:styleId="Importeradestilen4" w:customStyle="1">
    <w:name w:val="Importerade stilen 4"/>
    <w:rsid w:val="00EA1C1B"/>
    <w:pPr>
      <w:numPr>
        <w:numId w:val="6"/>
      </w:numPr>
    </w:pPr>
  </w:style>
  <w:style w:type="numbering" w:styleId="Importeradestilen5" w:customStyle="1">
    <w:name w:val="Importerade stilen 5"/>
    <w:rsid w:val="00EA1C1B"/>
    <w:pPr>
      <w:numPr>
        <w:numId w:val="7"/>
      </w:numPr>
    </w:pPr>
  </w:style>
  <w:style w:type="numbering" w:styleId="Importeradestilen3" w:customStyle="1">
    <w:name w:val="Importerade stilen 3"/>
    <w:rsid w:val="00EA1C1B"/>
    <w:pPr>
      <w:numPr>
        <w:numId w:val="5"/>
      </w:numPr>
    </w:pPr>
  </w:style>
  <w:style w:type="paragraph" w:styleId="Brdtext" w:customStyle="1">
    <w:name w:val="Brödtext"/>
    <w:rsid w:val="00EA1C1B"/>
    <w:pPr>
      <w:pBdr>
        <w:top w:val="none" w:color="FFFFFF" w:sz="96" w:space="31" w:shadow="1" w:frame="1"/>
        <w:left w:val="none" w:color="FFFFFF" w:sz="96" w:space="31" w:shadow="1" w:frame="1"/>
        <w:bottom w:val="none" w:color="FFFFFF" w:sz="96" w:space="31" w:shadow="1" w:frame="1"/>
        <w:right w:val="none" w:color="FFFFFF" w:sz="96" w:space="31" w:shadow="1" w:frame="1"/>
        <w:bar w:val="none" w:color="000000" w:sz="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styleId="Importeradestilen2" w:customStyle="1">
    <w:name w:val="Importerade stilen 2"/>
    <w:rsid w:val="00EA1C1B"/>
    <w:pPr>
      <w:numPr>
        <w:numId w:val="8"/>
      </w:numPr>
    </w:pPr>
  </w:style>
  <w:style w:type="paragraph" w:styleId="TOC8">
    <w:name w:val="toc 8"/>
    <w:basedOn w:val="Normal"/>
    <w:next w:val="Normal"/>
    <w:autoRedefine/>
    <w:semiHidden/>
    <w:rsid w:val="00EA1C1B"/>
    <w:pPr>
      <w:suppressAutoHyphens/>
      <w:autoSpaceDN w:val="0"/>
      <w:ind w:left="1400"/>
      <w:textAlignment w:val="baseline"/>
    </w:pPr>
    <w:rPr>
      <w:rFonts w:hint="cs" w:hAnsiTheme="minorHAnsi" w:eastAsiaTheme="minorHAnsi"/>
      <w:sz w:val="18"/>
      <w:szCs w:val="18"/>
      <w:lang w:val="en-GB" w:eastAsia="en-GB"/>
    </w:rPr>
  </w:style>
  <w:style w:type="paragraph" w:styleId="Body" w:customStyle="1">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styleId="ImportedStyle1" w:customStyle="1">
    <w:name w:val="Imported Style 1"/>
    <w:rsid w:val="00EA1C1B"/>
    <w:pPr>
      <w:numPr>
        <w:numId w:val="9"/>
      </w:numPr>
    </w:pPr>
  </w:style>
  <w:style w:type="numbering" w:styleId="ImportedStyle2" w:customStyle="1">
    <w:name w:val="Imported Style 2"/>
    <w:rsid w:val="00EA1C1B"/>
    <w:pPr>
      <w:numPr>
        <w:numId w:val="10"/>
      </w:numPr>
    </w:pPr>
  </w:style>
  <w:style w:type="character" w:styleId="Hyperlink0" w:customStyle="1">
    <w:name w:val="Hyperlink.0"/>
    <w:rsid w:val="00EA1C1B"/>
    <w:rPr>
      <w:rFonts w:cs="Times New Roman"/>
      <w:lang w:val="en-US" w:eastAsia="x-none"/>
    </w:rPr>
  </w:style>
  <w:style w:type="numbering" w:styleId="Importeradestilen14" w:customStyle="1">
    <w:name w:val="Importerade stilen 14"/>
    <w:rsid w:val="00EA1C1B"/>
    <w:pPr>
      <w:numPr>
        <w:numId w:val="12"/>
      </w:numPr>
    </w:pPr>
  </w:style>
  <w:style w:type="numbering" w:styleId="Importeradestilen15" w:customStyle="1">
    <w:name w:val="Importerade stilen 15"/>
    <w:rsid w:val="00EA1C1B"/>
    <w:pPr>
      <w:numPr>
        <w:numId w:val="13"/>
      </w:numPr>
    </w:pPr>
  </w:style>
  <w:style w:type="numbering" w:styleId="Importeradestilen12" w:customStyle="1">
    <w:name w:val="Importerade stilen 12"/>
    <w:rsid w:val="00EA1C1B"/>
    <w:pPr>
      <w:numPr>
        <w:numId w:val="11"/>
      </w:numPr>
    </w:pPr>
  </w:style>
  <w:style w:type="character" w:styleId="NormalNonumberChar" w:customStyle="1">
    <w:name w:val="Normal_No_number Char"/>
    <w:link w:val="NormalNonumber"/>
    <w:locked/>
    <w:rsid w:val="00EA1C1B"/>
    <w:rPr>
      <w:rFonts w:hAnsiTheme="minorHAnsi" w:eastAsiaTheme="minorHAnsi"/>
      <w:szCs w:val="30"/>
      <w:lang w:val="en-GB"/>
    </w:rPr>
  </w:style>
  <w:style w:type="paragraph" w:styleId="NormalWeb">
    <w:name w:val="Normal (Web)"/>
    <w:basedOn w:val="Normal"/>
    <w:uiPriority w:val="99"/>
    <w:unhideWhenUsed/>
    <w:rsid w:val="00EA1C1B"/>
    <w:pPr>
      <w:spacing w:after="240" w:line="225" w:lineRule="atLeast"/>
    </w:pPr>
    <w:rPr>
      <w:rFonts w:hint="cs" w:hAnsiTheme="minorHAnsi" w:eastAsiaTheme="minorHAnsi"/>
      <w:sz w:val="24"/>
      <w:szCs w:val="24"/>
    </w:rPr>
  </w:style>
  <w:style w:type="table" w:styleId="Tabledocright" w:customStyle="1">
    <w:name w:val="Table_doc_right"/>
    <w:basedOn w:val="TableNormal"/>
    <w:rsid w:val="00EA1C1B"/>
    <w:pPr>
      <w:spacing w:before="40" w:after="40"/>
    </w:pPr>
    <w:rPr>
      <w:rFonts w:cs="Times New Roman"/>
      <w:sz w:val="18"/>
      <w:szCs w:val="18"/>
    </w:rPr>
    <w:tblPr>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hint="cs" w:hAnsiTheme="minorHAnsi" w:eastAsiaTheme="minorHAnsi"/>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hint="cs" w:hAnsiTheme="minorHAnsi" w:eastAsiaTheme="minorHAnsi"/>
      <w:sz w:val="18"/>
      <w:szCs w:val="18"/>
      <w:lang w:val="en-GB" w:eastAsia="en-GB"/>
    </w:rPr>
  </w:style>
  <w:style w:type="paragraph" w:styleId="Titlefigure" w:customStyle="1">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hint="cs" w:hAnsiTheme="minorHAnsi" w:eastAsiaTheme="minorHAnsi"/>
      <w:szCs w:val="24"/>
      <w:lang w:val="en-GB" w:eastAsia="en-GB"/>
    </w:rPr>
  </w:style>
  <w:style w:type="paragraph" w:styleId="CH4" w:customStyle="1">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hint="cs" w:hAnsiTheme="minorHAnsi" w:eastAsiaTheme="minorHAnsi"/>
      <w:b/>
      <w:szCs w:val="24"/>
      <w:lang w:val="en-GB" w:eastAsia="en-GB"/>
    </w:rPr>
  </w:style>
  <w:style w:type="table" w:styleId="Footertable" w:customStyle="1">
    <w:name w:val="Footer_table"/>
    <w:basedOn w:val="TableNormal"/>
    <w:semiHidden/>
    <w:rsid w:val="00EA1C1B"/>
    <w:rPr>
      <w:rFonts w:ascii="Arial" w:hAnsi="Arial" w:cs="Times New Roman"/>
      <w:sz w:val="16"/>
    </w:rPr>
    <w:tblPr>
      <w:jc w:val="right"/>
      <w:tblBorders>
        <w:top w:val="double" w:color="auto" w:sz="4" w:space="0"/>
        <w:left w:val="double" w:color="auto" w:sz="4" w:space="0"/>
        <w:bottom w:val="double" w:color="auto" w:sz="4" w:space="0"/>
        <w:right w:val="double" w:color="auto" w:sz="4" w:space="0"/>
      </w:tblBorders>
    </w:tblPr>
    <w:trPr>
      <w:jc w:val="right"/>
    </w:trPr>
    <w:tcPr>
      <w:tcMar>
        <w:top w:w="28" w:type="dxa"/>
        <w:bottom w:w="28" w:type="dxa"/>
      </w:tcMar>
    </w:tcPr>
  </w:style>
  <w:style w:type="paragraph" w:styleId="CH5" w:customStyle="1">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hint="cs" w:hAnsiTheme="minorHAnsi" w:eastAsiaTheme="minorHAnsi"/>
      <w:b/>
      <w:szCs w:val="24"/>
      <w:lang w:val="en-GB" w:eastAsia="en-GB"/>
    </w:rPr>
  </w:style>
  <w:style w:type="table" w:styleId="AATable" w:customStyle="1">
    <w:name w:val="AA_Table"/>
    <w:basedOn w:val="TableNormal"/>
    <w:rsid w:val="00EA1C1B"/>
    <w:rPr>
      <w:rFonts w:cs="Times New Roman"/>
    </w:rPr>
    <w:tblPr>
      <w:tblStyleRowBandSize w:val="1"/>
      <w:tblStyleColBandSize w:val="1"/>
      <w:jc w:val="right"/>
    </w:tblPr>
    <w:trPr>
      <w:jc w:val="right"/>
    </w:trPr>
    <w:tblStylePr w:type="firstRow">
      <w:pPr>
        <w:wordWrap/>
        <w:spacing w:before="0" w:beforeLines="0" w:beforeAutospacing="0" w:after="0" w:afterLines="0" w:afterAutospacing="0"/>
        <w:contextualSpacing w:val="0"/>
        <w:jc w:val="left"/>
      </w:pPr>
      <w:rPr>
        <w:rFonts w:ascii="Arial" w:hAnsi="Arial"/>
        <w:b/>
        <w:i w:val="0"/>
        <w:caps/>
        <w:smallCaps w:val="0"/>
        <w:color w:val="auto"/>
        <w:sz w:val="27"/>
        <w:szCs w:val="27"/>
      </w:rPr>
    </w:tblStylePr>
    <w:tblStylePr w:type="lastRow">
      <w:pPr>
        <w:wordWrap/>
        <w:ind w:right="567" w:rightChars="0"/>
      </w:pPr>
      <w:rPr>
        <w:rFonts w:ascii="Arial" w:hAnsi="Arial"/>
        <w:b/>
        <w:sz w:val="32"/>
      </w:rPr>
      <w:tblPr/>
      <w:tcPr>
        <w:tcBorders>
          <w:top w:val="nil"/>
          <w:left w:val="nil"/>
          <w:bottom w:val="single" w:color="auto" w:sz="18" w:space="0"/>
          <w:right w:val="nil"/>
          <w:insideH w:val="nil"/>
          <w:insideV w:val="nil"/>
        </w:tcBorders>
      </w:tcPr>
    </w:tblStylePr>
    <w:tblStylePr w:type="firstCol">
      <w:pPr>
        <w:wordWrap/>
        <w:ind w:right="0" w:rightChars="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0" w:beforeLines="0" w:beforeAutospacing="0" w:after="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color="auto" w:sz="4" w:space="0"/>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0" w:beforeLines="0" w:beforeAutospacing="0" w:after="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120" w:beforeLines="0" w:beforeAutospacing="0" w:after="120" w:afterLines="0" w:afterAutospacing="0"/>
        <w:ind w:left="0" w:leftChars="0" w:right="0" w:rightChars="0"/>
        <w:contextualSpacing w:val="0"/>
      </w:pPr>
      <w:rPr>
        <w:rFonts w:ascii="Times New Roman" w:hAnsi="Times New Roman"/>
        <w:b w:val="0"/>
        <w:sz w:val="20"/>
      </w:rPr>
    </w:tblStylePr>
    <w:tblStylePr w:type="swCell">
      <w:pPr>
        <w:wordWrap/>
        <w:spacing w:after="1600" w:afterLines="0" w:afterAutospacing="0"/>
        <w:ind w:right="0" w:rightChars="0"/>
      </w:pPr>
      <w:rPr>
        <w:rFonts w:ascii="Times New Roman" w:hAnsi="Times New Roman"/>
      </w:rPr>
    </w:tblStylePr>
  </w:style>
  <w:style w:type="paragraph" w:styleId="AATitle2" w:customStyle="1">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styleId="Titletable" w:customStyle="1">
    <w:name w:val="Title_table"/>
    <w:basedOn w:val="Normal"/>
    <w:rsid w:val="00EA1C1B"/>
    <w:pPr>
      <w:keepNext/>
      <w:keepLines/>
      <w:suppressAutoHyphens/>
      <w:autoSpaceDN w:val="0"/>
      <w:spacing w:after="60"/>
      <w:ind w:left="1247"/>
      <w:textAlignment w:val="baseline"/>
    </w:pPr>
    <w:rPr>
      <w:rFonts w:hint="cs" w:hAnsiTheme="minorHAnsi" w:eastAsiaTheme="minorHAnsi"/>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hint="cs" w:hAnsiTheme="minorHAnsi" w:eastAsiaTheme="minorHAnsi"/>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hint="cs" w:hAnsiTheme="minorHAnsi" w:eastAsiaTheme="minorHAnsi"/>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hint="cs" w:hAnsiTheme="minorHAnsi" w:eastAsiaTheme="minorHAnsi"/>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hint="cs" w:hAnsiTheme="minorHAnsi" w:eastAsiaTheme="minorHAnsi"/>
      <w:sz w:val="18"/>
      <w:szCs w:val="18"/>
      <w:lang w:val="en-GB" w:eastAsia="en-GB"/>
    </w:rPr>
  </w:style>
  <w:style w:type="table" w:styleId="PlainTable41" w:customStyle="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Normallist1" w:customStyle="1">
    <w:name w:val="Normal_list1"/>
    <w:basedOn w:val="NoList"/>
    <w:rsid w:val="00EA1C1B"/>
  </w:style>
  <w:style w:type="table" w:styleId="TableGrid1" w:customStyle="1">
    <w:name w:val="Table Grid1"/>
    <w:basedOn w:val="TableNormal"/>
    <w:next w:val="TableGrid"/>
    <w:rsid w:val="00EA1C1B"/>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docright1" w:customStyle="1">
    <w:name w:val="Table_doc_right1"/>
    <w:basedOn w:val="TableNormal"/>
    <w:rsid w:val="00EA1C1B"/>
    <w:pPr>
      <w:spacing w:before="40" w:after="40"/>
    </w:pPr>
    <w:rPr>
      <w:rFonts w:cs="Times New Roman"/>
      <w:sz w:val="18"/>
      <w:szCs w:val="18"/>
    </w:rPr>
    <w:tblPr>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7" w:type="dxa"/>
        <w:bottom w:w="28" w:type="dxa"/>
        <w:right w:w="17" w:type="dxa"/>
      </w:tblCellMar>
    </w:tblPr>
    <w:trPr>
      <w:jc w:val="right"/>
    </w:trPr>
    <w:tcPr>
      <w:tcMar>
        <w:left w:w="57" w:type="dxa"/>
        <w:right w:w="57" w:type="dxa"/>
      </w:tcMar>
    </w:tcPr>
  </w:style>
  <w:style w:type="numbering" w:styleId="NoList1" w:customStyle="1">
    <w:name w:val="No List1"/>
    <w:next w:val="NoList"/>
    <w:uiPriority w:val="99"/>
    <w:semiHidden/>
    <w:unhideWhenUsed/>
    <w:rsid w:val="00EA1C1B"/>
  </w:style>
  <w:style w:type="character" w:styleId="BodyText2Char" w:customStyle="1">
    <w:name w:val="Body Text 2 Char"/>
    <w:basedOn w:val="DefaultParagraphFont"/>
    <w:link w:val="BodyText2"/>
    <w:rsid w:val="00EA1C1B"/>
    <w:rPr>
      <w:rFonts w:ascii="Times" w:hAnsi="Times"/>
      <w:noProof/>
      <w:sz w:val="28"/>
      <w:szCs w:val="30"/>
    </w:rPr>
  </w:style>
  <w:style w:type="numbering" w:styleId="Normallist2" w:customStyle="1">
    <w:name w:val="Normal_list2"/>
    <w:rsid w:val="00EA1C1B"/>
  </w:style>
  <w:style w:type="table" w:styleId="TableGrid2" w:customStyle="1">
    <w:name w:val="Table Grid2"/>
    <w:basedOn w:val="TableNormal"/>
    <w:next w:val="TableGrid"/>
    <w:uiPriority w:val="39"/>
    <w:rsid w:val="00EA1C1B"/>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yle1" w:customStyle="1">
    <w:name w:val="Style1"/>
    <w:uiPriority w:val="99"/>
    <w:rsid w:val="00EA1C1B"/>
    <w:pPr>
      <w:numPr>
        <w:numId w:val="42"/>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hAnsiTheme="majorHAnsi" w:eastAsiaTheme="majorEastAsia"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er" Target="footer5.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6.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3CAEC0-7FDC-40EC-B640-9E6D411BF7EE}">
  <ds:schemaRefs>
    <ds:schemaRef ds:uri="http://schemas.openxmlformats.org/officeDocument/2006/bibliography"/>
  </ds:schemaRefs>
</ds:datastoreItem>
</file>

<file path=customXml/itemProps3.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C2FA0-9ECF-4D66-93C0-E6E6B43055A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UNEP/GC/25/00</dc:title>
  <dc:creator>ARABIC UNIT</dc:creator>
  <lastModifiedBy>Joyce Saad</lastModifiedBy>
  <revision>4</revision>
  <lastPrinted>2018-02-09T11:19:00.0000000Z</lastPrinted>
  <dcterms:created xsi:type="dcterms:W3CDTF">2020-12-17T14:37:00.0000000Z</dcterms:created>
  <dcterms:modified xsi:type="dcterms:W3CDTF">2021-01-15T10:11:09.1895944Z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